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  <Override ContentType="application/vnd.openxmlformats-officedocument.wordprocessingml.header+xml" PartName="/word/header2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top w:val="single" w:color="6366F1" w:sz="48" w:space="1"/>
        </w:pBdr>
        <w:spacing w:after="240" w:before="0"/>
      </w:pPr>
      <w:r>
        <w:rPr>
          <w:sz w:val="2"/>
          <w:szCs w:val="2"/>
        </w:rPr>
        <w:t xml:space="preserve"/>
      </w:r>
    </w:p>
    <w:p>
      <w:pPr>
        <w:spacing w:after="200" w:before="80"/>
        <w:jc w:val="center"/>
      </w:pPr>
      <w:r>
        <w:rPr>
          <w:rFonts w:ascii="Georgia" w:cs="Georgia" w:eastAsia="Georgia" w:hAnsi="Georgia"/>
          <w:b/>
          <w:bCs/>
          <w:color w:val="6366F1"/>
          <w:sz w:val="18"/>
          <w:szCs w:val="18"/>
        </w:rPr>
        <w:t xml:space="preserve">RAPPORT DE CONTRÔLES</w:t>
      </w:r>
    </w:p>
    <w:p>
      <w:pPr>
        <w:spacing w:after="400"/>
        <w:jc w:val="center"/>
      </w:pPr>
      <w:r>
        <w:rPr>
          <w:b/>
          <w:bCs/>
          <w:color w:val="6366F1"/>
          <w:sz w:val="44"/>
          <w:szCs w:val="44"/>
        </w:rPr>
        <w:t xml:space="preserve">Cabinet Démo</w:t>
      </w:r>
    </w:p>
    <w:p>
      <w:pPr>
        <w:pBdr>
          <w:bottom w:val="single" w:color="6366F1" w:sz="16" w:space="8"/>
        </w:pBdr>
        <w:spacing w:after="100" w:before="600"/>
        <w:jc w:val="center"/>
      </w:pPr>
      <w:r>
        <w:rPr>
          <w:rFonts w:ascii="Georgia" w:cs="Georgia" w:eastAsia="Georgia" w:hAnsi="Georgia"/>
          <w:b/>
          <w:bCs/>
          <w:color w:val="0F172A"/>
          <w:sz w:val="56"/>
          <w:szCs w:val="56"/>
        </w:rPr>
        <w:t xml:space="preserve">Rapport de contrôles</w:t>
      </w:r>
    </w:p>
    <w:p>
      <w:pPr>
        <w:spacing w:after="600"/>
        <w:jc w:val="center"/>
      </w:pPr>
      <w:r>
        <w:rPr>
          <w:i/>
          <w:iCs/>
          <w:color w:val="666666"/>
          <w:sz w:val="28"/>
          <w:szCs w:val="28"/>
        </w:rPr>
        <w:t xml:space="preserve">NIS2</w:t>
      </w:r>
    </w:p>
    <w:p>
      <w:pPr>
        <w:spacing w:after="80"/>
        <w:jc w:val="center"/>
      </w:pPr>
      <w:r>
        <w:rPr>
          <w:b/>
          <w:bCs/>
          <w:sz w:val="36"/>
          <w:szCs w:val="36"/>
        </w:rPr>
        <w:t xml:space="preserve">TEST_ETI Meridian Group</w:t>
      </w:r>
    </w:p>
    <w:p>
      <w:pPr>
        <w:jc w:val="center"/>
      </w:pPr>
      <w:r>
        <w:rPr>
          <w:i/>
          <w:iCs/>
          <w:color w:val="666666"/>
          <w:sz w:val="22"/>
          <w:szCs w:val="22"/>
        </w:rPr>
        <w:t xml:space="preserve">Services / Conseil &amp; Ingenierie</w:t>
      </w:r>
    </w:p>
    <w:p>
      <w:pPr>
        <w:spacing w:after="80" w:before="400"/>
        <w:jc w:val="center"/>
      </w:pPr>
      <w:r>
        <w:rPr>
          <w:color w:val="666666"/>
        </w:rPr>
        <w:t xml:space="preserve">Date : </w:t>
      </w:r>
      <w:r>
        <w:t xml:space="preserve">22 octobre 2026</w:t>
      </w:r>
    </w:p>
    <w:p>
      <w:pPr>
        <w:spacing w:after="60" w:before="800"/>
        <w:jc w:val="center"/>
      </w:pPr>
      <w:r>
        <w:rPr>
          <w:b/>
          <w:bCs/>
        </w:rPr>
        <w:t xml:space="preserve">Consultant Démo</w:t>
      </w:r>
      <w:r>
        <w:rPr>
          <w:color w:val="666666"/>
        </w:rPr>
        <w:t xml:space="preserve"> — DSI à temps partagé</w:t>
      </w:r>
    </w:p>
    <w:p>
      <w:pPr>
        <w:jc w:val="center"/>
      </w:pPr>
      <w:r>
        <w:rPr>
          <w:color w:val="666666"/>
          <w:sz w:val="18"/>
          <w:szCs w:val="18"/>
        </w:rPr>
        <w:t xml:space="preserve">demo@mondsi.app · </w:t>
      </w:r>
    </w:p>
    <w:p>
      <w:r>
        <w:br w:type="page"/>
      </w:r>
    </w:p>
    <w:p>
      <w:pPr>
        <w:sectPr>
          <w:headerReference w:type="default" r:id="rId7"/>
          <w:footerReference w:type="default" r:id="rId8"/>
          <w:pgSz w:w="11906" w:h="16838" w:orient="portrait"/>
          <w:pgMar w:top="1440" w:right="1440" w:bottom="1440" w:left="1440" w:header="708" w:footer="708" w:gutter="0"/>
          <w:pgNumType/>
          <w:docGrid w:linePitch="360"/>
        </w:sectPr>
      </w:pPr>
    </w:p>
    <w:p>
      <w:pPr>
        <w:pBdr>
          <w:bottom w:val="single" w:color="6366F1" w:sz="16" w:space="6"/>
        </w:pBdr>
        <w:spacing w:after="200" w:before="360"/>
      </w:pPr>
      <w:r>
        <w:rPr>
          <w:rFonts w:ascii="Georgia" w:cs="Georgia" w:eastAsia="Georgia" w:hAnsi="Georgia"/>
          <w:b/>
          <w:bCs/>
          <w:color w:val="1A1A18"/>
          <w:sz w:val="34"/>
          <w:szCs w:val="34"/>
        </w:rPr>
        <w:t xml:space="preserve">Synthèse</w:t>
      </w:r>
    </w:p>
    <w:p>
      <w:pPr>
        <w:spacing w:after="140"/>
      </w:pPr>
      <w:r>
        <w:rPr>
          <w:rFonts w:ascii="Calibri" w:cs="Calibri" w:eastAsia="Calibri" w:hAnsi="Calibri"/>
          <w:color w:val="1A1A18"/>
          <w:sz w:val="21"/>
          <w:szCs w:val="21"/>
        </w:rPr>
        <w:t xml:space="preserve">Référentiel : NIS2 - Annexe au règlement d'implementation 2024/2690 de la Commission avec avec les recommandation techniques de mise en œuvre de l’ENISA (Directive UE, 2024-10-17 (transposition FR)). État au 22 octobre 2026.</w:t>
      </w:r>
    </w:p>
    <w:p>
      <w:pPr>
        <w:spacing w:after="140"/>
      </w:pPr>
      <w:r>
        <w:rPr>
          <w:rFonts w:ascii="Calibri" w:cs="Calibri" w:eastAsia="Calibri" w:hAnsi="Calibri"/>
          <w:color w:val="1A1A18"/>
          <w:sz w:val="21"/>
          <w:szCs w:val="21"/>
        </w:rPr>
        <w:t xml:space="preserve">Taux d'application : 0 %. 0 contrôle(s) appliqué(s) sur 351 applicable(s), sur 351 contrôle(s) au total.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6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4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Nombre de contrôles</w:t>
            </w:r>
          </w:p>
        </w:tc>
      </w:tr>
      <w:tr>
        <w:tc>
          <w:tcPr>
            <w:tcW w:type="pct" w:w="6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15803D"/>
                <w:sz w:val="17"/>
                <w:szCs w:val="17"/>
              </w:rPr>
              <w:t xml:space="preserve">■ Appliqué</w:t>
            </w:r>
          </w:p>
        </w:tc>
        <w:tc>
          <w:tcPr>
            <w:tcW w:type="pct" w:w="4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0</w:t>
            </w:r>
          </w:p>
        </w:tc>
      </w:tr>
      <w:tr>
        <w:tc>
          <w:tcPr>
            <w:tcW w:type="pct" w:w="6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Partiellement appliqué</w:t>
            </w:r>
          </w:p>
        </w:tc>
        <w:tc>
          <w:tcPr>
            <w:tcW w:type="pct" w:w="4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0</w:t>
            </w:r>
          </w:p>
        </w:tc>
      </w:tr>
      <w:tr>
        <w:tc>
          <w:tcPr>
            <w:tcW w:type="pct" w:w="6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0E7490"/>
                <w:sz w:val="17"/>
                <w:szCs w:val="17"/>
              </w:rPr>
              <w:t xml:space="preserve">■ En cours</w:t>
            </w:r>
          </w:p>
        </w:tc>
        <w:tc>
          <w:tcPr>
            <w:tcW w:type="pct" w:w="4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0</w:t>
            </w:r>
          </w:p>
        </w:tc>
      </w:tr>
      <w:tr>
        <w:tc>
          <w:tcPr>
            <w:tcW w:type="pct" w:w="6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91C1C"/>
                <w:sz w:val="17"/>
                <w:szCs w:val="17"/>
              </w:rPr>
              <w:t xml:space="preserve">■ Non conforme</w:t>
            </w:r>
          </w:p>
        </w:tc>
        <w:tc>
          <w:tcPr>
            <w:tcW w:type="pct" w:w="4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0</w:t>
            </w:r>
          </w:p>
        </w:tc>
      </w:tr>
      <w:tr>
        <w:tc>
          <w:tcPr>
            <w:tcW w:type="pct" w:w="6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4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351</w:t>
            </w:r>
          </w:p>
        </w:tc>
      </w:tr>
      <w:tr>
        <w:tc>
          <w:tcPr>
            <w:tcW w:type="pct" w:w="6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0E7490"/>
                <w:sz w:val="17"/>
                <w:szCs w:val="17"/>
              </w:rPr>
              <w:t xml:space="preserve">■ Non applicable</w:t>
            </w:r>
          </w:p>
        </w:tc>
        <w:tc>
          <w:tcPr>
            <w:tcW w:type="pct" w:w="4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0</w:t>
            </w:r>
          </w:p>
        </w:tc>
      </w:tr>
    </w:tbl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Les statuts sont ceux de la fiche de conformité du client. Un contrôle non renseigné est compté à traiter.</w:t>
      </w:r>
    </w:p>
    <w:p>
      <w:pPr>
        <w:pageBreakBefore/>
        <w:pBdr>
          <w:bottom w:val="single" w:color="6366F1" w:sz="16" w:space="6"/>
        </w:pBdr>
        <w:spacing w:after="200" w:before="360"/>
      </w:pPr>
      <w:r>
        <w:rPr>
          <w:rFonts w:ascii="Georgia" w:cs="Georgia" w:eastAsia="Georgia" w:hAnsi="Georgia"/>
          <w:b/>
          <w:bCs/>
          <w:color w:val="1A1A18"/>
          <w:sz w:val="34"/>
          <w:szCs w:val="34"/>
        </w:rPr>
        <w:t xml:space="preserve">Points d'attention</w:t>
      </w:r>
    </w:p>
    <w:p>
      <w:pPr>
        <w:spacing w:after="140"/>
      </w:pPr>
      <w:r>
        <w:rPr>
          <w:rFonts w:ascii="Calibri" w:cs="Calibri" w:eastAsia="Calibri" w:hAnsi="Calibri"/>
          <w:color w:val="1A1A18"/>
          <w:sz w:val="21"/>
          <w:szCs w:val="21"/>
        </w:rPr>
        <w:t xml:space="preserve">Aucun contrôle non conforme ou partiellement appliqué.</w:t>
      </w:r>
    </w:p>
    <w:p>
      <w:pPr>
        <w:pageBreakBefore/>
        <w:pBdr>
          <w:bottom w:val="single" w:color="6366F1" w:sz="16" w:space="6"/>
        </w:pBdr>
        <w:spacing w:after="200" w:before="360"/>
      </w:pPr>
      <w:r>
        <w:rPr>
          <w:rFonts w:ascii="Georgia" w:cs="Georgia" w:eastAsia="Georgia" w:hAnsi="Georgia"/>
          <w:b/>
          <w:bCs/>
          <w:color w:val="1A1A18"/>
          <w:sz w:val="34"/>
          <w:szCs w:val="34"/>
        </w:rPr>
        <w:t xml:space="preserve">Détail par domaine</w:t>
      </w:r>
    </w:p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Politique relative à la sécurité des réseaux et des systèmes d’information [article 21, paragraphe 2, point a), de la directive (UE) 2022/2555]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18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1.1.1.a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1.1.1.a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1.1.1.b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1.1.1.b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1.1.1.c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1.1.1.c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1.1.1.d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1.1.1.d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1.1.1.e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1.1.1.e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1.1.1.f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1.1.1.f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1.1.1.g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1.1.1.g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1.1.1.h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1.1.1.h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1.1.1.i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1.1.1.i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1.1.1.j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1.1.1.j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1.1.1.k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1.1.1.k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1.1.2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1.1.2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1.2.1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1.2.1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1.2.2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1.2.2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1.2.3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1.2.3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1.2.4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1.2.4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1.2.5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1.2.5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1.2.6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1.2.6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Politique de gestion des risques [article 21, paragraphe 2, point a), de la directive (UE) 2022/2555]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21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2.1.1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2.1.1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2.1.2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2.1.2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2.1.2.a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2.1.2.a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2.1.2.b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2.1.2.b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2.1.2.c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2.1.2.c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2.1.2.d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2.1.2.d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2.1.2.e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2.1.2.e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2.1.2.f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2.1.2.f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2.1.2.g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2.1.2.g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2.1.2.h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2.1.2.h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2.1.2.i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2.1.2.i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2.1.2.j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2.1.2.j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2.1.3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2.1.3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2.1.4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2.1.4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2.2.1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2.2.1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2.2.2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2.2.2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2.2.3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2.2.3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2.3.1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2.3.1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2.3.2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2.3.2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2.3.3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2.3.3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2.3.4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2.3.4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Gestion des incidents [article 21, paragraphe 2, point b), de la directive (UE) 2022/2555]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45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3.1.1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3.1.1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3.1.2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3.1.2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3.1.2.a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3.1.2.a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3.1.2.b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3.1.2.b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3.1.2.c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3.1.2.c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3.1.2.d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3.1.2.d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3.1.3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3.1.3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3.2.1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3.2.1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3.2.2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3.2.2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3.2.3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3.2.3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3.2.3.a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3.2.3.a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3.2.3.b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3.2.3.b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3.2.3.c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3.2.3.c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3.2.3.d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3.2.3.d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3.2.3.e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3.2.3.e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3.2.3.f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3.2.3.f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3.2.3.g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3.2.3.g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3.2.3.h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3.2.3.h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3.2.3.i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3.2.3.i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3.2.3.j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3.2.3.j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3.2.3.k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3.2.3.k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3.2.3.l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3.2.3.l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3.2.4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3.2.4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3.2.5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3.2.5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3.2.6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3.2.6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3.2.7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3.2.7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3.3.1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3.3.1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3.3.2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3.3.2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3.4.1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3.4.1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3.4.2.a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3.4.2.a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3.4.2.b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3.4.2.b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3.4.2.c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3.4.2.c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3.4.2.d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3.4.2.d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3.4.2.e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3.4.2.e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3.5.1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3.5.1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3.5.3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3.5.3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3.5.3.a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3.5.3.a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3.5.3.b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3.5.3.b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3.5.4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3.5.4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3.5.5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3.5.5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3.5.2.a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3.5.2.a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3.5.2.b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3.5.2.b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3.5.2.c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3.5.2.c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3.6.1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3.6.1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3.6.2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3.6.2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Continuité des activités et gestion des crises [article 21, paragraphe 2, point c), de la directive (UE) 2022/2555]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35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4.1.1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4.1.1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4.1.2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4.1.2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4.1.2.a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4.1.2.a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4.1.2.b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4.1.2.b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4.1.2.c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4.1.2.c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4.1.2.d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4.1.2.d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4.1.2.e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4.1.2.e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4.1.2.f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4.1.2.f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4.1.2.g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4.1.2.g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4.1.2.h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4.1.2.h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4.1.3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4.1.3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4.1.4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4.1.4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4.2.1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4.2.1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4.2.2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4.2.2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4.2.2.a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4.2.2.a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4.2.2.b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4.2.2.b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4.2.2.c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4.2.2.c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4.2.2.d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4.2.2.d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4.2.2.e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4.2.2.e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4.2.2.f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4.2.2.f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4.2.3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4.2.3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4.2.4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4.2.4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4.2.4.a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4.2.4.a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4.2.4.b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4.2.4.b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4.2.4.c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4.2.4.c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4.2.4.d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4.2.4.d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4.2.5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4.2.5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4.2.6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4.2.6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4.3.1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4.3.1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4.3.2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4.3.2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4.3.2.a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4.3.2.a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4.3.2.b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4.3.2.b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4.3.2.c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4.3.2.c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4.3.3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4.3.3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4.3.4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4.3.4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Gestion des actifs [article 21, paragraphe 2, point i), de la directive (UE) 2022/2555]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23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12.1.1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12.1.1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12.1.3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12.1.3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12.1.2.a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12.1.2.a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12.1.2.b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12.1.2.b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12.1.2.c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12.1.2.c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12.2.1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12.2.1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12.2.3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12.2.3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12.2.2.a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12.2.2.a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12.2.2.b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12.2.2.b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12.2.2.c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12.2.2.c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12.3.1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12.3.1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12.3.3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12.3.3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12.3.2.a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12.3.2.a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12.3.2.b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12.3.2.b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12.3.2.c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12.3.2.c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12.3.2.d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12.3.2.d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12.4.1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12.4.1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12.4.2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12.4.2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12.4.2.a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12.4.2.a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12.4.2.b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12.4.2.b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12.4.3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12.4.3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12.5.1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12.5.1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Sécurité de la chaîne d’approvisionnement [article 21, paragraphe 2, point d), de la directive (UE) 2022/2555]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24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5.1.1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5.1.1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5.1.2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5.1.2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5.1.2.a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5.1.2.a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5.1.2.b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5.1.2.b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5.1.2.c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5.1.2.c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5.1.2.d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5.1.2.d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5.1.3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5.1.3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5.1.4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5.1.4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5.1.4.a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5.1.4.a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5.1.4.b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5.1.4.b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5.1.4.c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5.1.4.c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5.1.4.d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5.1.4.d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5.1.4.e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5.1.4.e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5.1.4.f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5.1.4.f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5.1.4.g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5.1.4.g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5.1.4.h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5.1.4.h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5.1.5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5.1.5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5.1.6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5.1.6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5.1.7.a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5.1.7.a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5.1.7.b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5.1.7.b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5.1.7.c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5.1.7.c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5.1.7.d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5.1.7.d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5.2.a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5.2.a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5.2.b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5.2.b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Général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1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5.2-1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Sécurité de l’acquisition, du développement et de la maintenance des réseaux et des systèmes d’information [article 21, paragraphe 2, point e), de la directive (UE) 2022/2555]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71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6.1.1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6.1.1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6.1.3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6.1.3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6.1.2.a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6.1.2.a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6.1.2.b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6.1.2.b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6.1.2.c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6.1.2.c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6.1.2.d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6.1.2.d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6.1.2.e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6.1.2.e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6.1.2.f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6.1.2.f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6.2.1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6.2.1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6.2.3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6.2.3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6.2.4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6.2.4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6.2.2.a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6.2.2.a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6.2.2.b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6.2.2.b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6.2.2.c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6.2.2.c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6.2.2.d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6.2.2.d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6.2.2.e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6.2.2.e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6.2.2.f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6.2.2.f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6.3.1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6.3.1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6.3.3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6.3.3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6.3.2.a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6.3.2.a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6.3.2.b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6.3.2.b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6.4.1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6.4.1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6.4.2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6.4.2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6.4.3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6.4.3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6.4.4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6.4.4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6.5.1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6.5.1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6.5.3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6.5.3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6.5.2.a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6.5.2.a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6.5.2.b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6.5.2.b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6.5.2.c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6.5.2.c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6.5.2.d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6.5.2.d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6.6.1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6.6.1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6.6.1.a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6.6.1.a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6.6.1.b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6.6.1.b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6.6.1.c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6.6.1.c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6.6.1.d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6.6.1.d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6.6.2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6.6.2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6.7.1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6.7.1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6.7.3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6.7.3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6.7.2.a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6.7.2.a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6.7.2.b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6.7.2.b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6.7.2.c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6.7.2.c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6.7.2.d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6.7.2.d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6.7.2.e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6.7.2.e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6.7.2.f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6.7.2.f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6.7.2.g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6.7.2.g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6.7.2.h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6.7.2.h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6.7.2.i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6.7.2.i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6.7.2.j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6.7.2.j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6.7.2.k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6.7.2.k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6.7.2.l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6.7.2.l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6.8.1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6.8.1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6.8.3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6.8.3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6.8.2.a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6.8.2.a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6.8.2.b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6.8.2.b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6.8.2.c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6.8.2.c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6.8.2.d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6.8.2.d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6.8.2.e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6.8.2.e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6.8.2.f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6.8.2.f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6.8.2.g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6.8.2.g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6.8.2.h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6.8.2.h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6.9.1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6.9.1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6.9.2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6.9.2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6.10.1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6.10.1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6.10.3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6.10.3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6.10.4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6.10.4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6.10.2.a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6.10.2.a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6.10.2.b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6.10.2.b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6.10.2.c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6.10.2.c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6.10.2.d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6.10.2.d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6.10.2.e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6.10.2.e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Politiques et procédures visant à évaluer l’efficacité des mesures de gestion des risques en matière de cybersécurité [article 21, paragraphe 2, point f), de la directive (UE) 2022/2555]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9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7.1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7.1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7.2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7.2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7.2.a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7.2.a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7.2.b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7.2.b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7.2.c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7.2.c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7.2.d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7.2.d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7.2.e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7.2.e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7.2.f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7.2.f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7.3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7.3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Pratiques de base en matière de cyberhygiène et formation à la sécurité [article 21, paragraphe 2, point g), de la directive (UE) 2022/2555]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14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8.1.1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8.1.1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8.1.2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8.1.2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8.1.2.a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8.1.2.a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8.1.2.b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8.1.2.b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8.1.2.c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8.1.2.c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8.1.3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8.1.3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8.2.1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8.2.1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8.2.2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8.2.2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8.2.3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8.2.3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8.2.3.a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8.2.3.a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8.2.3.b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8.2.3.b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8.2.3.c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8.2.3.c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8.2.4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8.2.4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8.2.5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8.2.5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Cryptographie [article 21, paragraphe 2, point h), de la directive (UE) 2022/2555]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17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9.1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9.1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9.3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9.3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9.2.a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9.2.a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9.2.b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9.2.b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9.2.c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9.2.c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9.2.c.i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9.2.c.i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9.2.c.ii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9.2.c.ii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9.2.c.iii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9.2.c.iii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9.2.c.iv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9.2.c.iv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9.2.c.v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9.2.c.v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9.2.c.vi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9.2.c.vi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9.2.c.vii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9.2.c.vii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9.2.c.viii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9.2.c.viii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9.2.c.ix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9.2.c.ix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9.2.c.x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9.2.c.x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9.2.c.xi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9.2.c.xi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9.2.c.xii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9.2.c.xii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Sécurité des ressources humaines [article 21, paragraphe 2, point i), de la directive (UE) 2022/2555]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14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10.1.1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10.1.1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10.1.3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10.1.3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10.1.2.a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10.1.2.a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10.1.2.b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10.1.2.b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10.1.2.c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10.1.2.c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10.1.2.d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10.1.2.d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10.2.1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10.2.1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10.2.3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10.2.3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10.2.2.a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10.2.2.a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10.2.2.b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10.2.2.b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10.3.1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10.3.1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10.3.2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10.3.2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10.4.1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10.4.1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10.4.2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10.4.2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Contrôle d’accès [article 21, paragraphe 2, points i) et j), de la directive (UE) 2022/2555]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41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11.1.1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11.1.1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11.1.3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11.1.3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11.1.2.a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11.1.2.a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11.1.2.b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11.1.2.b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11.1.2.c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11.1.2.c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11.2.1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11.2.1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11.2.3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11.2.3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11.2.2.a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11.2.2.a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11.2.2.b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11.2.2.b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11.2.2.c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11.2.2.c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11.2.2.d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11.2.2.d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11.2.2.e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11.2.2.e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11.2.2.f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11.2.2.f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11.3.1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11.3.1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11.3.3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11.3.3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11.3.2.a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11.3.2.a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11.3.2.b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11.3.2.b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11.3.2.c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11.3.2.c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11.3.2.d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11.3.2.d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11.4.1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11.4.1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11.4.2.a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11.4.2.a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11.4.2.b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11.4.2.b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11.4.2.c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11.4.2.c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11.5.1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11.5.1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11.5.3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11.5.3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11.5.4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11.5.4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11.5.2.a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11.5.2.a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11.5.2.b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11.5.2.b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11.5.2.c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11.5.2.c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11.5.2.d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11.5.2.d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11.6.1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11.6.1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11.6.3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11.6.3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11.6.4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11.6.4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11.6.2.a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11.6.2.a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11.6.2.b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11.6.2.b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11.6.2.c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11.6.2.c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11.6.2.d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11.6.2.d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11.6.2.e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11.6.2.e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11.6.2.f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11.6.2.f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11.7.1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11.7.1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11.7.2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11.7.2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Sécurité environnementale et physique [article 21, paragraphe 2, points c), e) et i), de la directive (UE) 2022/2555]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18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13.1.1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13.1.1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13.1.3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13.1.3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13.1.2.a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13.1.2.a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13.1.2.b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13.1.2.b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13.1.2.c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13.1.2.c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13.1.2.d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13.1.2.d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13.1.2.f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13.1.2.f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13.2.1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13.2.1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13.2.3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13.2.3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13.2.2.a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13.2.2.a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13.2.2.b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13.2.2.b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13.2.2.c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13.2.2.c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13.3.1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13.3.1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13.3.3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13.3.3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13.3.2.a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13.3.2.a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13.3.2.b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13.3.2.b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13.3.2.c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13.3.2.c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13.3.2.d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13.3.2.d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Ce rapport est confidentiel. Il est destiné exclusivement au client. Toute reproduction ou diffusion à un tiers est interdite sans accord écrit préalable.</w:t>
      </w:r>
    </w:p>
    <w:sectPr>
      <w:headerReference w:type="default" r:id="rId9"/>
      <w:footerReference w:type="default" r:id="rId10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999999"/>
        <w:sz w:val="14"/>
        <w:szCs w:val="14"/>
      </w:rPr>
      <w:t xml:space="preserve">Cabinet Démo · SIRET 79109030100015 · 28 Avenue Mal Leclerc et de sa Division, 94380 Bonneuil-sur-Marne</w:t>
    </w:r>
  </w:p>
  <w:p>
    <w:pPr>
      <w:spacing w:before="60"/>
      <w:jc w:val="center"/>
    </w:pPr>
    <w:r>
      <w:rPr>
        <w:color w:val="94A3B8"/>
        <w:sz w:val="14"/>
        <w:szCs w:val="14"/>
      </w:rPr>
      <w:t xml:space="preserve">Page </w:t>
    </w:r>
    <w:r>
      <w:rPr>
        <w:b/>
        <w:bCs/>
        <w:color w:val="6366F1"/>
        <w:sz w:val="14"/>
        <w:szCs w:val="14"/>
      </w:rPr>
      <w:fldChar w:fldCharType="begin"/>
      <w:instrText xml:space="preserve">PAGE</w:instrText>
      <w:fldChar w:fldCharType="separate"/>
      <w:fldChar w:fldCharType="end"/>
    </w:r>
    <w:r>
      <w:rPr>
        <w:color w:val="94A3B8"/>
        <w:sz w:val="14"/>
        <w:szCs w:val="14"/>
      </w:rPr>
      <w:t xml:space="preserve"> / </w:t>
    </w:r>
    <w:r>
      <w:rPr>
        <w:b/>
        <w:bCs/>
        <w:color w:val="6366F1"/>
        <w:sz w:val="14"/>
        <w:szCs w:val="14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eader" Target="header2.xml"/><Relationship Id="rId10" Type="http://schemas.openxmlformats.org/officeDocument/2006/relationships/footer" Target="footer2.xm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Rapport de contrôles · NIS2 · TEST_ETI Meridian Group</dc:title>
  <dc:creator>Cabinet Démo</dc:creator>
  <cp:lastModifiedBy>Un-named</cp:lastModifiedBy>
  <cp:revision>1</cp:revision>
  <dcterms:created xsi:type="dcterms:W3CDTF">2026-10-22T01:21:21.434Z</dcterms:created>
  <dcterms:modified xsi:type="dcterms:W3CDTF">2026-10-22T01:21:21.434Z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