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6366F1" w:sz="48" w:space="1"/>
        </w:pBdr>
        <w:spacing w:after="240" w:before="0"/>
      </w:pPr>
      <w:r>
        <w:rPr>
          <w:sz w:val="2"/>
          <w:szCs w:val="2"/>
        </w:rPr>
        <w:t xml:space="preserve"/>
      </w:r>
    </w:p>
    <w:p>
      <w:pPr>
        <w:spacing w:after="200" w:before="80"/>
        <w:jc w:val="center"/>
      </w:pPr>
      <w:r>
        <w:rPr>
          <w:rFonts w:ascii="Georgia" w:cs="Georgia" w:eastAsia="Georgia" w:hAnsi="Georgia"/>
          <w:b/>
          <w:bCs/>
          <w:color w:val="6366F1"/>
          <w:sz w:val="18"/>
          <w:szCs w:val="18"/>
        </w:rPr>
        <w:t xml:space="preserve">RAPPORT DE CONTRÔLES</w:t>
      </w:r>
    </w:p>
    <w:p>
      <w:pPr>
        <w:spacing w:after="400"/>
        <w:jc w:val="center"/>
      </w:pPr>
      <w:r>
        <w:rPr>
          <w:b/>
          <w:bCs/>
          <w:color w:val="6366F1"/>
          <w:sz w:val="44"/>
          <w:szCs w:val="44"/>
        </w:rPr>
        <w:t xml:space="preserve">Cabinet Démo</w:t>
      </w:r>
    </w:p>
    <w:p>
      <w:pPr>
        <w:pBdr>
          <w:bottom w:val="single" w:color="6366F1" w:sz="16" w:space="8"/>
        </w:pBdr>
        <w:spacing w:after="100" w:before="600"/>
        <w:jc w:val="center"/>
      </w:pPr>
      <w:r>
        <w:rPr>
          <w:rFonts w:ascii="Georgia" w:cs="Georgia" w:eastAsia="Georgia" w:hAnsi="Georgia"/>
          <w:b/>
          <w:bCs/>
          <w:color w:val="0F172A"/>
          <w:sz w:val="56"/>
          <w:szCs w:val="56"/>
        </w:rPr>
        <w:t xml:space="preserve">Rapport de contrôles</w:t>
      </w:r>
    </w:p>
    <w:p>
      <w:pPr>
        <w:spacing w:after="600"/>
        <w:jc w:val="center"/>
      </w:pPr>
      <w:r>
        <w:rPr>
          <w:i/>
          <w:iCs/>
          <w:color w:val="666666"/>
          <w:sz w:val="28"/>
          <w:szCs w:val="28"/>
        </w:rPr>
        <w:t xml:space="preserve">AI Act</w:t>
      </w:r>
    </w:p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TEST_ETI Meridian Group</w:t>
      </w:r>
    </w:p>
    <w:p>
      <w:pPr>
        <w:jc w:val="center"/>
      </w:pPr>
      <w:r>
        <w:rPr>
          <w:i/>
          <w:iCs/>
          <w:color w:val="666666"/>
          <w:sz w:val="22"/>
          <w:szCs w:val="22"/>
        </w:rPr>
        <w:t xml:space="preserve">Services / Conseil &amp; Ingenierie</w:t>
      </w:r>
    </w:p>
    <w:p>
      <w:pPr>
        <w:spacing w:after="80" w:before="400"/>
        <w:jc w:val="center"/>
      </w:pPr>
      <w:r>
        <w:rPr>
          <w:color w:val="666666"/>
        </w:rPr>
        <w:t xml:space="preserve">Date : </w:t>
      </w:r>
      <w:r>
        <w:t xml:space="preserve">22 octobre 2026</w:t>
      </w:r>
    </w:p>
    <w:p>
      <w:pPr>
        <w:spacing w:after="60" w:before="800"/>
        <w:jc w:val="center"/>
      </w:pPr>
      <w:r>
        <w:rPr>
          <w:b/>
          <w:bCs/>
        </w:rPr>
        <w:t xml:space="preserve">Consultant Démo</w:t>
      </w:r>
      <w:r>
        <w:rPr>
          <w:color w:val="666666"/>
        </w:rPr>
        <w:t xml:space="preserve"> — DSI à temps partagé</w:t>
      </w:r>
    </w:p>
    <w:p>
      <w:pPr>
        <w:jc w:val="center"/>
      </w:pPr>
      <w:r>
        <w:rPr>
          <w:color w:val="666666"/>
          <w:sz w:val="18"/>
          <w:szCs w:val="18"/>
        </w:rPr>
        <w:t xml:space="preserve">demo@mondsi.app · </w:t>
      </w:r>
    </w:p>
    <w:p>
      <w:r>
        <w:br w:type="page"/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Synthèse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Référentiel : EU Artificial Intelligence Act (Règlement UE, 2025-02-02 (Art. 5) / 2026-08-02 (haut risque)). État au 22 octobre 2026.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Taux d'application : 0 %. 0 contrôle(s) appliqué(s) sur 347 applicable(s), sur 347 contrôle(s) au total.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6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4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Nombre de contrôles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15803D"/>
                <w:sz w:val="17"/>
                <w:szCs w:val="17"/>
              </w:rPr>
              <w:t xml:space="preserve">■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Partiellement appliqué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En cours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91C1C"/>
                <w:sz w:val="17"/>
                <w:szCs w:val="17"/>
              </w:rPr>
              <w:t xml:space="preserve">■ Non conforme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347</w:t>
            </w:r>
          </w:p>
        </w:tc>
      </w:tr>
      <w:tr>
        <w:tc>
          <w:tcPr>
            <w:tcW w:type="pct" w:w="6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0E7490"/>
                <w:sz w:val="17"/>
                <w:szCs w:val="17"/>
              </w:rPr>
              <w:t xml:space="preserve">■ Non applicable</w:t>
            </w:r>
          </w:p>
        </w:tc>
        <w:tc>
          <w:tcPr>
            <w:tcW w:type="pct" w:w="4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0</w:t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Les statuts sont ceux de la fiche de conformité du client. Un contrôle non renseigné est compté à traiter.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Points d'attention</w:t>
      </w:r>
    </w:p>
    <w:p>
      <w:pPr>
        <w:spacing w:after="140"/>
      </w:pPr>
      <w:r>
        <w:rPr>
          <w:rFonts w:ascii="Calibri" w:cs="Calibri" w:eastAsia="Calibri" w:hAnsi="Calibri"/>
          <w:color w:val="1A1A18"/>
          <w:sz w:val="21"/>
          <w:szCs w:val="21"/>
        </w:rPr>
        <w:t xml:space="preserve">Aucun contrôle non conforme ou partiellement appliqué.</w:t>
      </w:r>
    </w:p>
    <w:p>
      <w:pPr>
        <w:pageBreakBefore/>
        <w:pBdr>
          <w:bottom w:val="single" w:color="6366F1" w:sz="16" w:space="6"/>
        </w:pBdr>
        <w:spacing w:after="200" w:before="360"/>
      </w:pPr>
      <w:r>
        <w:rPr>
          <w:rFonts w:ascii="Georgia" w:cs="Georgia" w:eastAsia="Georgia" w:hAnsi="Georgia"/>
          <w:b/>
          <w:bCs/>
          <w:color w:val="1A1A18"/>
          <w:sz w:val="34"/>
          <w:szCs w:val="34"/>
        </w:rPr>
        <w:t xml:space="preserve">Détail par domaine</w:t>
      </w:r>
    </w:p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Article 20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Maîtrise de l'IA par le personnel opérationnel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5.1.c.i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5.1.c.i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5.1.c.ii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5.1.c.ii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5.1.h.i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5.1.h.i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5.1.h.ii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5.1.h.ii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5.1.h.iii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5.1.h.iii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Traitement des données biométriques et article 9 du RGPD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Identification biométrique à distance en temps réel à des fins répressives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Profilage de personnes physiques et classification à haut risque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9.5.a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9.5.a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9.5.b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9.5.b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9.5.c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9.5.c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Prise en compte du contexte et des compétences du déployeur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9.8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9.9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9.10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10.2.h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10.5.f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10.6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12.2.c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12.3.d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16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13.3.b.iii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13.3.b.iii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13.3.b.iv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13.3.b.iv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13.3.b.v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13.3.b.v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13.3.b.vi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13.3.b.vi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13.3.b.vii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13.3.b.vii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13.3.f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14.4.e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14.5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Exception à la vérification séparée par deux personnes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8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Robustesse par redondance technique des systèmes à haut risque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Prévention des boucles de rétroaction biaisées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15.5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Cybersécurité proportionnée aux risques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Traitement des vulnérabilités spécifiques à l'IA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16.k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16.k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16.l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16.l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17.1.k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17.1.k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17.1.l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17.1.l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17.1.m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17.1.m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17.4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18.3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Conservation des journaux générés automatiquement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Conservation des journaux par les institutions financières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22.3.e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Habilitation du mandataire à être contacté par les autorités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23.7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6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24.6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25.4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Conformité de la surveillance pour établissements financiers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Conservation des journaux par les établissements financiers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26.8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26.9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26.10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Arrêt immédiat en cas de rejet d'autorisation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Restrictions sur l'identification biométrique à distance a posteriori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Enregistrement de l'utilisation des systèmes d'IA à haut risque par les autorités répressives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Rapports annuels sur l'identification biométrique à distance a posteriori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26.12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27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27.4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41.5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41.5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43.1.a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43.1.a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43.1.b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43.1.b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Procédure d'évaluation de la conformité selon l'annexe VII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Choix de l'organisme notifié pour l'évaluation de la conformité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Renonciation à l'évaluation de la conformité par un tiers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43.4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Modifications non substantielles des systèmes d'IA à apprentissage continu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46.7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47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47.1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47.1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47.2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47.2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47.3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47.3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47.4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47.4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48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48.2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48.2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48.3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48.3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48.4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48.4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48.5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48.5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49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49.5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50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6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50.1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50.1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50.3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50.3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Divulgation obligatoire du texte généré artificiellement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50.5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50.5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51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4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51.1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51.1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Évaluation des capacités à fort impact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Décision de la Commission sur capacités ou impact équivalents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52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53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53.1.b.i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53.1.b.i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53.1.b.ii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53.1.b.ii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53.4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54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10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54.3.a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54.3.a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54.3.b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54.3.b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54.3.c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54.3.c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54.3.d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54.3.d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54.6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55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55.3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56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56.7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56.7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59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59.1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59.1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59.1.d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59.1.d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59.1.e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59.1.e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60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60.4.h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60.4.h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60.4.i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60.4.i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60.4.j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60.4.j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60.4.k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60.4.k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60.8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60.8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60.9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60.9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71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2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71.2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71.2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71.3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71.3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72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72.1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72.1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72.4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72.4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73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9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73.7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73.7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Coopération du fournisseur avec les autorités compétentes lors des enquêtes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73.10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73.10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73.11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73.11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80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3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80.4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80.4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80.5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80.5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80.6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80.6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82.2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82.2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7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83.1.a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83.1.a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83.1.b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83.1.b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83.1.c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83.1.c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83.1.d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83.1.d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83.1.e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83.1.e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83.1.f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83.1.f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83.1.g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83.1.g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86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Droit à l'explication des décisions individuelles automatisées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91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91.5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91.5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92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92.5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92.5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93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93.3</w:t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93.3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Georgia" w:cs="Georgia" w:eastAsia="Georgia" w:hAnsi="Georgia"/>
          <w:b/>
          <w:bCs/>
          <w:color w:val="6366F1"/>
          <w:sz w:val="26"/>
          <w:szCs w:val="26"/>
        </w:rPr>
        <w:t xml:space="preserve">Article 113</w:t>
      </w:r>
    </w:p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0 contrôle(s) appliqué(s) sur 1 applicable(s).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  <w:trHeight w:val="360" w:hRule="atLeast"/>
        </w:trPr>
        <w:tc>
          <w:tcPr>
            <w:tcW w:type="pct" w:w="8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Réf.</w:t>
            </w:r>
          </w:p>
        </w:tc>
        <w:tc>
          <w:tcPr>
            <w:tcW w:type="pct" w:w="3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Contrôle</w:t>
            </w:r>
          </w:p>
        </w:tc>
        <w:tc>
          <w:tcPr>
            <w:tcW w:type="pct" w:w="1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Statut</w:t>
            </w:r>
          </w:p>
        </w:tc>
        <w:tc>
          <w:tcPr>
            <w:tcW w:type="pct" w:w="26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Notes</w:t>
            </w:r>
          </w:p>
        </w:tc>
        <w:tc>
          <w:tcPr>
            <w:tcW w:type="pct" w:w="20%"/>
            <w:shd w:fill="F4F4F5" w:color="auto" w:val="clear"/>
          </w:tcPr>
          <w:p>
            <w:pPr>
              <w:spacing w:after="60" w:before="60"/>
            </w:pPr>
            <w:r>
              <w:rPr>
                <w:rFonts w:ascii="Georgia" w:cs="Georgia" w:eastAsia="Georgia" w:hAnsi="Georgia"/>
                <w:b/>
                <w:bCs/>
                <w:color w:val="6366F1"/>
                <w:sz w:val="17"/>
                <w:szCs w:val="17"/>
              </w:rPr>
              <w:t xml:space="preserve">Documents liés</w:t>
            </w:r>
          </w:p>
        </w:tc>
      </w:tr>
      <w:tr>
        <w:tc>
          <w:tcPr>
            <w:tcW w:type="pct" w:w="8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3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>Caractère obligatoire et applicabilité directe du règlement</w:t>
            </w:r>
          </w:p>
        </w:tc>
        <w:tc>
          <w:tcPr>
            <w:tcW w:type="pct" w:w="1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color w:val="B45309"/>
                <w:sz w:val="17"/>
                <w:szCs w:val="17"/>
              </w:rPr>
              <w:t xml:space="preserve">■ À traiter</w:t>
            </w:r>
          </w:p>
        </w:tc>
        <w:tc>
          <w:tcPr>
            <w:tcW w:type="pct" w:w="26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  <w:tc>
          <w:tcPr>
            <w:tcW w:type="pct" w:w="20%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color w:val="1A1A18"/>
                <w:sz w:val="17"/>
                <w:szCs w:val="17"/>
              </w:rPr>
              <w:t xml:space="preserve"/>
            </w:r>
          </w:p>
        </w:tc>
      </w:tr>
    </w:tbl>
    <w:p>
      <w:pPr>
        <w:spacing w:after="140"/>
      </w:pPr>
      <w:r>
        <w:rPr>
          <w:rFonts w:ascii="Calibri" w:cs="Calibri" w:eastAsia="Calibri" w:hAnsi="Calibri"/>
          <w:color w:val="71717A"/>
          <w:sz w:val="17"/>
          <w:szCs w:val="17"/>
        </w:rPr>
        <w:t xml:space="preserve">Ce rapport est confidentiel. Il est destiné exclusivement au client. Toute reproduction ou diffusion à un tiers est interdite sans accord écrit préalable.</w:t>
      </w:r>
    </w:p>
    <w:sectPr>
      <w:headerReference w:type="default" r:id="rId9"/>
      <w:footerReference w:type="default" r:id="rId10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Cabinet Démo · SIRET 79109030100015 · 28 Avenue Mal Leclerc et de sa Division, 94380 Bonneuil-sur-Marne</w:t>
    </w:r>
  </w:p>
  <w:p>
    <w:pPr>
      <w:spacing w:before="60"/>
      <w:jc w:val="center"/>
    </w:pPr>
    <w:r>
      <w:rPr>
        <w:color w:val="94A3B8"/>
        <w:sz w:val="14"/>
        <w:szCs w:val="14"/>
      </w:rPr>
      <w:t xml:space="preserve">Page </w:t>
    </w:r>
    <w:r>
      <w:rPr>
        <w:b/>
        <w:bCs/>
        <w:color w:val="6366F1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4A3B8"/>
        <w:sz w:val="14"/>
        <w:szCs w:val="14"/>
      </w:rPr>
      <w:t xml:space="preserve"> / </w:t>
    </w:r>
    <w:r>
      <w:rPr>
        <w:b/>
        <w:bCs/>
        <w:color w:val="6366F1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de contrôles · AI Act · TEST_ETI Meridian Group</dc:title>
  <dc:creator>Cabinet Démo</dc:creator>
  <cp:lastModifiedBy>Un-named</cp:lastModifiedBy>
  <cp:revision>1</cp:revision>
  <dcterms:created xsi:type="dcterms:W3CDTF">2026-10-22T02:31:35.813Z</dcterms:created>
  <dcterms:modified xsi:type="dcterms:W3CDTF">2026-10-22T02:31:35.813Z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