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 w:before="400"/>
        <w:jc w:val="center"/>
      </w:pPr>
      <w:r>
        <w:rPr>
          <w:b/>
          <w:bCs/>
          <w:color w:val="6366F1"/>
          <w:sz w:val="36"/>
          <w:szCs w:val="36"/>
        </w:rPr>
        <w:t xml:space="preserve">Cabinet Démo</w:t>
      </w:r>
    </w:p>
    <w:p>
      <w:pPr>
        <w:spacing w:after="100" w:before="600"/>
        <w:jc w:val="center"/>
      </w:pPr>
      <w:r>
        <w:rPr>
          <w:b/>
          <w:bCs/>
          <w:color w:val="6366F1"/>
          <w:sz w:val="56"/>
          <w:szCs w:val="56"/>
        </w:rPr>
        <w:t xml:space="preserve">REGISTRE DES RISQUES</w:t>
      </w:r>
    </w:p>
    <w:p>
      <w:pPr>
        <w:spacing w:after="600"/>
        <w:jc w:val="center"/>
      </w:pPr>
      <w:r>
        <w:rPr>
          <w:i/>
          <w:iCs/>
          <w:color w:val="475569"/>
          <w:sz w:val="28"/>
          <w:szCs w:val="28"/>
        </w:rPr>
        <w:t xml:space="preserve">Vue 5×5 simplifiée · Inhérent vs Résiduel</w:t>
      </w:r>
    </w:p>
    <w:p>
      <w:pPr>
        <w:spacing w:after="200"/>
        <w:jc w:val="center"/>
      </w:pPr>
      <w:r>
        <w:rPr>
          <w:b/>
          <w:bCs/>
          <w:color w:val="1E293B"/>
          <w:sz w:val="40"/>
          <w:szCs w:val="40"/>
        </w:rPr>
        <w:t xml:space="preserve">TEST_PME Garonne Industries</w:t>
      </w:r>
    </w:p>
    <w:p>
      <w:pPr>
        <w:spacing w:after="600" w:before="200"/>
        <w:jc w:val="center"/>
      </w:pPr>
      <w:r>
        <w:rPr>
          <w:color w:val="94A3B8"/>
          <w:sz w:val="22"/>
          <w:szCs w:val="22"/>
        </w:rPr>
        <w:t xml:space="preserve">Date d'édition : </w:t>
      </w:r>
      <w:r>
        <w:rPr>
          <w:b/>
          <w:bCs/>
          <w:sz w:val="22"/>
          <w:szCs w:val="22"/>
        </w:rPr>
        <w:t xml:space="preserve">23/07/2026</w:t>
      </w:r>
    </w:p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1. Synthèse exécutive</w:t>
      </w:r>
    </w:p>
    <w:p>
      <w:pPr>
        <w:spacing w:after="100"/>
      </w:pPr>
      <w:r>
        <w:rPr>
          <w:i/>
          <w:iCs/>
          <w:color w:val="94a3b8"/>
          <w:sz w:val="18"/>
          <w:szCs w:val="18"/>
        </w:rPr>
        <w:t xml:space="preserve">Méthodologie : analyse de risque qualitative (impact × vraisemblance).</w:t>
      </w:r>
    </w:p>
    <w:p>
      <w:pPr>
        <w:spacing w:after="100"/>
      </w:pPr>
      <w:r>
        <w:rPr>
          <w:sz w:val="22"/>
          <w:szCs w:val="22"/>
        </w:rPr>
        <w:t xml:space="preserve">Ce registre présente l'analyse de risque qualitative pour TEST_PME Garonne Industries à la date du 23/07/2026. Au total, 0 risque a été identifié, répartis selon une matrice 5×5 (Impact × Vraisemblance, échelle 1-5).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Indicateurs clés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Nombre total de risques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Score inhérent moyen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0.0 / 25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Score résiduel moyen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0.0 / 25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Réduction par traitements</w:t>
            </w:r>
          </w:p>
        </w:tc>
        <w:tc>
          <w:tcPr>
            <w:tcW w:type="pct" w:w="50%"/>
            <w:shd w:fill="fef3c7"/>
          </w:tcPr>
          <w:p>
            <w:r>
              <w:rPr>
                <w:b w:val="false"/>
                <w:bCs w:val="false"/>
                <w:color w:val="d97706"/>
                <w:sz w:val="20"/>
                <w:szCs w:val="20"/>
              </w:rPr>
              <w:t xml:space="preserve">0%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Répartition par niveau</w:t>
      </w:r>
    </w:p>
    <w:p>
      <w:pPr>
        <w:spacing w:after="100"/>
      </w:pPr>
      <w:r>
        <w:rPr>
          <w:i/>
          <w:iCs/>
          <w:color w:val="64748b"/>
          <w:sz w:val="20"/>
          <w:szCs w:val="20"/>
        </w:rPr>
        <w:t xml:space="preserve">Le tableau ci-dessous compare le nombre de risques avant traitement (inhérent) et après traitement (résiduel), regroupés par niveau de gravité.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.333333333333336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Niveau</w:t>
            </w:r>
          </w:p>
        </w:tc>
        <w:tc>
          <w:tcPr>
            <w:tcW w:type="pct" w:w="33.333333333333336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Inhérent</w:t>
            </w:r>
          </w:p>
        </w:tc>
        <w:tc>
          <w:tcPr>
            <w:tcW w:type="pct" w:w="33.333333333333336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Résiduel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f87171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Critique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fdba74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Élevé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fde68a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Modéré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a7f3d0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Faible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</w:tbl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2. Matrice de risque 5×5</w:t>
      </w:r>
    </w:p>
    <w:p>
      <w:pPr>
        <w:spacing w:after="100"/>
      </w:pPr>
      <w:r>
        <w:rPr>
          <w:sz w:val="22"/>
          <w:szCs w:val="22"/>
        </w:rPr>
        <w:t xml:space="preserve">Cette matrice positionne chaque risque selon son impact et sa vraisemblance. La couleur indique le niveau de gravité (vert = faible, jaune = modéré, orange = élevé, rouge = critique). Le chiffre dans chaque case = nombre de risques (score I×V).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Matrice inhérente (avant traitement)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1f5f9"/>
          </w:tcPr>
          <w:p>
            <w:r>
              <w:rPr>
                <w:b/>
                <w:bCs/>
                <w:color w:val="475569"/>
                <w:sz w:val="16"/>
                <w:szCs w:val="16"/>
              </w:rPr>
              <w:t xml:space="preserve">Impact ↓ / Vraisemblance →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16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9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Matrice résiduelle (après traitement)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1f5f9"/>
          </w:tcPr>
          <w:p>
            <w:r>
              <w:rPr>
                <w:b/>
                <w:bCs/>
                <w:color w:val="475569"/>
                <w:sz w:val="16"/>
                <w:szCs w:val="16"/>
              </w:rPr>
              <w:t xml:space="preserve">Impact ↓ / Vraisemblance →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16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9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</w:tr>
    </w:tbl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3. Liste détaillée des risques</w:t>
      </w:r>
    </w:p>
    <w:p>
      <w:pPr>
        <w:spacing w:after="100"/>
      </w:pPr>
      <w:r>
        <w:rPr>
          <w:sz w:val="22"/>
          <w:szCs w:val="22"/>
        </w:rPr>
        <w:t xml:space="preserve">Les risques sont triés par score inhérent décroissant. 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 risque identifié à ce stade.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before="400"/>
        <w:jc w:val="center"/>
      </w:pPr>
      <w:r>
        <w:rPr>
          <w:i/>
          <w:iCs/>
          <w:color w:val="94a3b8"/>
          <w:sz w:val="16"/>
          <w:szCs w:val="16"/>
        </w:rPr>
        <w:t xml:space="preserve">Cabinet Démo · 28 Avenue Mal Leclerc et de sa Division · SIRET 79109030100015</w:t>
      </w:r>
    </w:p>
    <w:p>
      <w:pPr>
        <w:jc w:val="center"/>
      </w:pPr>
      <w:r>
        <w:rPr>
          <w:i/>
          <w:iCs/>
          <w:color w:val="94a3b8"/>
          <w:sz w:val="16"/>
          <w:szCs w:val="16"/>
        </w:rPr>
        <w:t xml:space="preserve">Document confidentiel — édité le 23/07/2026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color w:val="6366f1"/>
        <w:sz w:val="20"/>
        <w:szCs w:val="20"/>
      </w:rPr>
      <w:t xml:space="preserve">Cabinet Démo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2026-07-23T09:04:59.456Z</dcterms:created>
  <dcterms:modified xsi:type="dcterms:W3CDTF">2026-07-23T09:04:59.456Z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