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Stelysia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PLAN DE TRAITEMENT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Mesures de traitement des risques · Suivi Kanban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TEST_PME Garonne Industries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05/06/2026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plan présente les mesures de traitement pour TEST_PME Garonne Industries à la date du 05/06/2026. Au total, 0 mesure est suivie.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mesures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Mesures 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Échéance &lt; 30 jours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Budget total engagé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0 €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statut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  <w:shd w:fill="f1f5f9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Planifié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cours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d1fae5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Terminé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cac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type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Mitigation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Acceptation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Transfert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Évitement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Liste détaillée des mesures</w:t>
      </w:r>
    </w:p>
    <w:p>
      <w:pPr>
        <w:spacing w:after="100"/>
      </w:pPr>
      <w:r>
        <w:rPr>
          <w:sz w:val="22"/>
          <w:szCs w:val="22"/>
        </w:rPr>
        <w:t xml:space="preserve">Les mesures sont triées par priorité : en retard d'abord, puis en cours, puis planifiées, puis terminées.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mesure de traitement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Stelysia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05/06/2026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Stelysia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2026-06-05T23:09:39.735Z</dcterms:created>
  <dcterms:modified xsi:type="dcterms:W3CDTF">2026-06-05T23:09:39.735Z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