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RAPPORT NIS2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Stelysia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Rapport NIS2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Diagnostic de conformité et plan d'action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TEST_PME Garonne Industries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Industrie / Manufacturing · 100-149</w:t>
      </w:r>
    </w:p>
    <w:p>
      <w:pPr>
        <w:spacing w:after="80" w:before="400"/>
        <w:jc w:val="center"/>
      </w:pPr>
      <w:r>
        <w:rPr>
          <w:color w:val="666666"/>
        </w:rPr>
        <w:t xml:space="preserve">Date : </w:t>
      </w:r>
      <w:r>
        <w:t xml:space="preserve">05 juin 2026</w:t>
      </w:r>
    </w:p>
    <w:p>
      <w:pPr>
        <w:spacing w:after="60" w:before="800"/>
        <w:jc w:val="center"/>
      </w:pPr>
      <w:r>
        <w:rPr>
          <w:b/>
          <w:bCs/>
        </w:rPr>
        <w:t xml:space="preserve">Stéphane Benoist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stephane@stelysia.fr · </w:t>
      </w:r>
    </w:p>
    <w:p>
      <w:r>
        <w:br w:type="page"/>
      </w:r>
    </w:p>
    <w:p>
      <w:pPr>
        <w:pageBreakBefore/>
      </w:pP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rapport présente le diagnostic de conformité à la directive NIS2 (UE 2022/2555) pour TEST_PME Garonne Industries, à la date du 05/06/2026.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Éligibilité NIS2</w:t>
      </w:r>
    </w:p>
    <w:p>
      <w:pPr>
        <w:spacing w:after="100"/>
      </w:pPr>
      <w:r>
        <w:rPr>
          <w:b/>
          <w:bCs/>
          <w:color w:val="d97706"/>
          <w:sz w:val="22"/>
          <w:szCs w:val="22"/>
        </w:rPr>
        <w:t xml:space="preserve">Catégorie : Entité importante</w:t>
      </w:r>
    </w:p>
    <w:p>
      <w:pPr>
        <w:spacing w:after="100"/>
      </w:pPr>
      <w:r>
        <w:rPr>
          <w:sz w:val="22"/>
          <w:szCs w:val="22"/>
        </w:rPr>
        <w:t xml:space="preserve">Effectif ≥ 50 et secteur "Industrie / Manufacturing" en annexe NIS2 (entité importante).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État de conformité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contrôles NIS2 analysés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conformes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059669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en cours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97706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pct" w:w="50%"/>
          </w:tcPr>
          <w:p>
            <w:r>
              <w:rPr>
                <w:sz w:val="20"/>
                <w:szCs w:val="20"/>
              </w:rPr>
              <w:t xml:space="preserve">Contrôles à traiter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94a3b8"/>
                <w:sz w:val="20"/>
                <w:szCs w:val="20"/>
              </w:rPr>
              <w:t xml:space="preserve">14</w:t>
            </w:r>
          </w:p>
        </w:tc>
      </w:tr>
      <w:tr>
        <w:tc>
          <w:tcPr>
            <w:tcW w:type="pct" w:w="50%"/>
          </w:tcPr>
          <w:p>
            <w:r>
              <w:rPr>
                <w:b/>
                <w:bCs/>
                <w:sz w:val="20"/>
                <w:szCs w:val="20"/>
              </w:rPr>
              <w:t xml:space="preserve">Taux de conformité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color w:val="dc262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Top 3 actions prioritaires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dans le plan d'action.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Diagnostic d'éligibilité</w:t>
      </w:r>
    </w:p>
    <w:p>
      <w:pPr>
        <w:spacing w:after="100"/>
      </w:pPr>
      <w:r>
        <w:rPr>
          <w:sz w:val="22"/>
          <w:szCs w:val="22"/>
        </w:rPr>
        <w:t xml:space="preserve">La directive NIS2 (UE 2022/2555) impose des obligations de cybersécurité aux entités essentielles et importantes opérant dans les secteurs stratégiques de l'Union Européenne. La transposition française est attendue dans la loi Résilience (H1 2026).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Critères d'éligibilité :</w:t>
      </w:r>
    </w:p>
    <w:p>
      <w:pPr>
        <w:spacing w:after="100"/>
      </w:pPr>
      <w:r>
        <w:rPr>
          <w:sz w:val="22"/>
          <w:szCs w:val="22"/>
        </w:rPr>
        <w:t xml:space="preserve">• Effectif ≥ 250 salariés OU CA ≥ 50 M€ (ou bilan ≥ 43 M€), dans un secteur de l'annexe I → entité essentielle</w:t>
      </w:r>
    </w:p>
    <w:p>
      <w:pPr>
        <w:spacing w:after="100"/>
      </w:pPr>
      <w:r>
        <w:rPr>
          <w:sz w:val="22"/>
          <w:szCs w:val="22"/>
        </w:rPr>
        <w:t xml:space="preserve">• Effectif ≥ 50 salariés OU CA ≥ 10 M€, dans un secteur des annexes I ou II → entité importante</w:t>
      </w:r>
    </w:p>
    <w:p>
      <w:pPr>
        <w:spacing w:after="100"/>
      </w:pPr>
      <w:r>
        <w:rPr>
          <w:sz w:val="22"/>
          <w:szCs w:val="22"/>
        </w:rPr>
        <w:t xml:space="preserve">• Effectif &lt; 50 et hors secteurs critiques → généralement hors périmètre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22"/>
          <w:szCs w:val="22"/>
        </w:rPr>
        <w:t xml:space="preserve">Évaluation pour TEST_PME Garonne Industries :</w:t>
      </w:r>
    </w:p>
    <w:p>
      <w:pPr>
        <w:spacing w:after="100"/>
      </w:pPr>
      <w:r>
        <w:rPr>
          <w:sz w:val="22"/>
          <w:szCs w:val="22"/>
        </w:rPr>
        <w:t xml:space="preserve">Secteur : Industrie / Manufacturing</w:t>
      </w:r>
    </w:p>
    <w:p>
      <w:pPr>
        <w:spacing w:after="100"/>
      </w:pPr>
      <w:r>
        <w:rPr>
          <w:sz w:val="22"/>
          <w:szCs w:val="22"/>
        </w:rPr>
        <w:t xml:space="preserve">Effectif : 100-149</w:t>
      </w:r>
    </w:p>
    <w:p>
      <w:pPr>
        <w:spacing w:after="100"/>
      </w:pPr>
      <w:r>
        <w:rPr>
          <w:i/>
          <w:iCs/>
          <w:color w:val="6366F1"/>
          <w:sz w:val="22"/>
          <w:szCs w:val="22"/>
        </w:rPr>
        <w:t xml:space="preserve">Effectif ≥ 50 et secteur "Industrie / Manufacturing" en annexe NIS2 (entité importante).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État des contrôles NIS2</w:t>
      </w:r>
    </w:p>
    <w:p>
      <w:pPr>
        <w:spacing w:after="100"/>
      </w:pPr>
      <w:r>
        <w:rPr>
          <w:sz w:val="22"/>
          <w:szCs w:val="22"/>
        </w:rPr>
        <w:t xml:space="preserve">Évaluation contrôle par contrôle du référentiel NIS2 (extraction du data model intuitem CISO Assistant).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20 — Gouvernance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Approbation des mesures de gestion des risques par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20.2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Formation cybersécurité de l'organe de direction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21 — Mesures de gestion des risques de cybersécurité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21.1.a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Politiques d'analyse des risques et de sécurité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21.1.b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Traitement des incidents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21.1.c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Continuité des activités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21.1.d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de la chaîne d'approvisionnement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21.1.e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Acquisition, développement et maintenance des SI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21.1.f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Évaluation de l'efficacité des mesures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21.1.g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Hygiène cyber et formation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21.1.h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Cryptographie et chiffrement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21.1.i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Sécurité RH, contrôle d'accès, gestion des actifs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21.1.j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MFA et solutions de communication sécurisées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Art. 23 — Notification d'incident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Réf.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Contrôle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25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23.1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précoce (24h)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pct" w:w="12%"/>
          </w:tcPr>
          <w:p>
            <w:r>
              <w:rPr>
                <w:color w:val="475569"/>
                <w:sz w:val="18"/>
                <w:szCs w:val="18"/>
              </w:rPr>
              <w:t xml:space="preserve">Art. 23.2</w:t>
            </w:r>
          </w:p>
        </w:tc>
        <w:tc>
          <w:tcPr>
            <w:tcW w:type="pct" w:w="48%"/>
          </w:tcPr>
          <w:p>
            <w:r>
              <w:rPr>
                <w:sz w:val="20"/>
                <w:szCs w:val="20"/>
              </w:rPr>
              <w:t xml:space="preserve">Notification d'incident (72h)</w:t>
            </w:r>
          </w:p>
        </w:tc>
        <w:tc>
          <w:tcPr>
            <w:tcW w:type="pct" w:w="15%"/>
          </w:tcPr>
          <w:p>
            <w:r>
              <w:rPr>
                <w:b/>
                <w:bCs/>
                <w:color w:val="94a3b8"/>
                <w:sz w:val="18"/>
                <w:szCs w:val="18"/>
              </w:rPr>
              <w:t xml:space="preserve">À traiter</w:t>
            </w:r>
          </w:p>
        </w:tc>
        <w:tc>
          <w:tcPr>
            <w:tcW w:type="pct" w:w="25%"/>
          </w:tcPr>
          <w:p>
            <w:r>
              <w:rPr>
                <w:color w:val="64748b"/>
                <w:sz w:val="18"/>
                <w:szCs w:val="18"/>
              </w:rPr>
              <w:t xml:space="preserve">—</w:t>
            </w:r>
          </w:p>
        </w:tc>
      </w:tr>
    </w:tbl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4. Plan d'action de mise en conformité</w:t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action de conformité enregistrée dans le plan d'action de ce client.</w:t>
      </w:r>
    </w:p>
    <w:p>
      <w:pPr>
        <w:pageBreakBefore/>
      </w:pPr>
    </w:p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5. Signatures</w:t>
      </w:r>
    </w:p>
    <w:p>
      <w:pPr>
        <w:spacing w:after="100"/>
      </w:pPr>
      <w:r>
        <w:rPr>
          <w:sz w:val="22"/>
          <w:szCs w:val="22"/>
        </w:rPr>
        <w:t xml:space="preserve">Document validé conjointement par :</w:t>
      </w:r>
    </w:p>
    <w:p>
      <w:pPr>
        <w:spacing w:after="400"/>
      </w:pPr>
      <w:r>
        <w:rPr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Stelysia</w:t>
            </w:r>
          </w:p>
          <w:p>
            <w:r>
              <w:rPr>
                <w:sz w:val="20"/>
                <w:szCs w:val="20"/>
              </w:rPr>
              <w:t xml:space="preserve">Stéphane Benoist</w:t>
            </w:r>
          </w:p>
          <w:p>
            <w:r>
              <w:rPr>
                <w:color w:val="64748b"/>
                <w:sz w:val="18"/>
                <w:szCs w:val="18"/>
              </w:rPr>
              <w:t xml:space="preserve">DSI à temps partagé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>Signature : __________</w:t>
            </w:r>
          </w:p>
        </w:tc>
        <w:tc>
          <w:tcPr>
            <w:tcW w:type="pct" w:w="50%"/>
          </w:tcPr>
          <w:p>
            <w:r>
              <w:rPr>
                <w:b/>
                <w:bCs/>
                <w:sz w:val="22"/>
                <w:szCs w:val="22"/>
              </w:rPr>
              <w:t xml:space="preserve">Pour TEST_PME Garonne Industries</w:t>
            </w:r>
          </w:p>
          <w:p>
            <w:r>
              <w:rPr>
                <w:sz w:val="20"/>
                <w:szCs w:val="20"/>
              </w:rPr>
              <w:t xml:space="preserve">Nom, fonction : __________________________</w:t>
            </w:r>
          </w:p>
          <w:p>
            <w:r>
              <w:rPr>
                <w:sz w:val="20"/>
                <w:szCs w:val="20"/>
              </w:rPr>
              <w:t xml:space="preserve">Date : __________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Signature, cachet :</w:t>
            </w:r>
          </w:p>
        </w:tc>
      </w:tr>
    </w:tbl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b/>
          <w:bCs/>
          <w:sz w:val="18"/>
          <w:szCs w:val="18"/>
        </w:rPr>
        <w:t xml:space="preserve">Mentions :</w:t>
      </w:r>
    </w:p>
    <w:p>
      <w:pPr>
        <w:spacing w:after="100"/>
      </w:pPr>
      <w:r>
        <w:rPr>
          <w:color w:val="64748b"/>
          <w:sz w:val="16"/>
          <w:szCs w:val="16"/>
        </w:rPr>
        <w:t xml:space="preserve">Ce rapport est confidentiel. Il est destiné exclusivement au client. Toute reproduction ou diffusion à un tiers est interdite sans accord écrit préalable.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Stelysia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2026-06-05T21:12:29.018Z</dcterms:created>
  <dcterms:modified xsi:type="dcterms:W3CDTF">2026-06-05T21:12:29.018Z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