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6366F1" w:sz="48" w:space="1"/>
        </w:pBdr>
        <w:spacing w:after="240" w:before="0"/>
      </w:pPr>
      <w:r>
        <w:rPr>
          <w:sz w:val="2"/>
          <w:szCs w:val="2"/>
        </w:rPr>
        <w:t xml:space="preserve"/>
      </w:r>
    </w:p>
    <w:p>
      <w:pPr>
        <w:spacing w:after="200" w:before="80"/>
        <w:jc w:val="center"/>
      </w:pPr>
      <w:r>
        <w:rPr>
          <w:rFonts w:ascii="Georgia" w:cs="Georgia" w:eastAsia="Georgia" w:hAnsi="Georgia"/>
          <w:b/>
          <w:bCs/>
          <w:color w:val="6366F1"/>
          <w:sz w:val="18"/>
          <w:szCs w:val="18"/>
        </w:rPr>
        <w:t xml:space="preserve">RAPPORT DE CONTRÔLES</w:t>
      </w:r>
    </w:p>
    <w:p>
      <w:pPr>
        <w:spacing w:after="400"/>
        <w:jc w:val="center"/>
      </w:pPr>
      <w:r>
        <w:rPr>
          <w:b/>
          <w:bCs/>
          <w:color w:val="6366F1"/>
          <w:sz w:val="44"/>
          <w:szCs w:val="44"/>
        </w:rPr>
        <w:t xml:space="preserve">Cabinet Démo</w:t>
      </w:r>
    </w:p>
    <w:p>
      <w:pPr>
        <w:pBdr>
          <w:bottom w:val="single" w:color="6366F1" w:sz="16" w:space="8"/>
        </w:pBdr>
        <w:spacing w:after="100" w:before="600"/>
        <w:jc w:val="center"/>
      </w:pPr>
      <w:r>
        <w:rPr>
          <w:rFonts w:ascii="Georgia" w:cs="Georgia" w:eastAsia="Georgia" w:hAnsi="Georgia"/>
          <w:b/>
          <w:bCs/>
          <w:color w:val="0F172A"/>
          <w:sz w:val="56"/>
          <w:szCs w:val="56"/>
        </w:rPr>
        <w:t xml:space="preserve">Rapport de contrôles</w:t>
      </w:r>
    </w:p>
    <w:p>
      <w:pPr>
        <w:spacing w:after="600"/>
        <w:jc w:val="center"/>
      </w:pPr>
      <w:r>
        <w:rPr>
          <w:i/>
          <w:iCs/>
          <w:color w:val="666666"/>
          <w:sz w:val="28"/>
          <w:szCs w:val="28"/>
        </w:rPr>
        <w:t xml:space="preserve">NIS2</w:t>
      </w:r>
    </w:p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TEST_PME Garonne Industries</w:t>
      </w:r>
    </w:p>
    <w:p>
      <w:pPr>
        <w:jc w:val="center"/>
      </w:pPr>
      <w:r>
        <w:rPr>
          <w:i/>
          <w:iCs/>
          <w:color w:val="666666"/>
          <w:sz w:val="22"/>
          <w:szCs w:val="22"/>
        </w:rPr>
        <w:t xml:space="preserve">Industrie / Manufacturing</w:t>
      </w:r>
    </w:p>
    <w:p>
      <w:pPr>
        <w:spacing w:after="80" w:before="400"/>
        <w:jc w:val="center"/>
      </w:pPr>
      <w:r>
        <w:rPr>
          <w:color w:val="666666"/>
        </w:rPr>
        <w:t xml:space="preserve">Date : </w:t>
      </w:r>
      <w:r>
        <w:t xml:space="preserve">22 octobre 2026</w:t>
      </w:r>
    </w:p>
    <w:p>
      <w:pPr>
        <w:spacing w:after="60" w:before="800"/>
        <w:jc w:val="center"/>
      </w:pPr>
      <w:r>
        <w:rPr>
          <w:b/>
          <w:bCs/>
        </w:rPr>
        <w:t xml:space="preserve">Consultant Démo</w:t>
      </w:r>
      <w:r>
        <w:rPr>
          <w:color w:val="666666"/>
        </w:rPr>
        <w:t xml:space="preserve"> — DSI à temps partagé</w:t>
      </w:r>
    </w:p>
    <w:p>
      <w:pPr>
        <w:jc w:val="center"/>
      </w:pPr>
      <w:r>
        <w:rPr>
          <w:color w:val="666666"/>
          <w:sz w:val="18"/>
          <w:szCs w:val="18"/>
        </w:rPr>
        <w:t xml:space="preserve">demo@mondsi.app · </w:t>
      </w:r>
    </w:p>
    <w:p>
      <w:r>
        <w:br w:type="page"/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Synthèse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Référentiel : NIS2 - Annexe au règlement d'implementation 2024/2690 de la Commission avec avec les recommandation techniques de mise en œuvre de l’ENISA (Directive UE, 2024-10-17 (transposition FR)). État au 22 octobre 2026.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Taux d'application : 0 %. 0 contrôle(s) appliqué(s) sur 351 applicable(s), sur 351 contrôle(s) au total.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6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4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Nombre de contrôles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15803D"/>
                <w:sz w:val="17"/>
                <w:szCs w:val="17"/>
              </w:rPr>
              <w:t xml:space="preserve">■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Partiellement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En cours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91C1C"/>
                <w:sz w:val="17"/>
                <w:szCs w:val="17"/>
              </w:rPr>
              <w:t xml:space="preserve">■ Non conforme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351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Non applicable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Les statuts sont ceux de la fiche de conformité du client. Un contrôle non renseigné est compté à traiter.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Points d'attention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Aucun contrôle non conforme ou partiellement appliqué.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Détail par domaine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Politique relative à la sécurité des réseaux et des systèmes d’information [article 21, paragraphe 2, point a), de la directive (UE) 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1.1.1.k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1.1.1.k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Politique de gestion des risques [article 21, paragraphe 2, point a), de la directive (UE) 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Gestion des incidents [article 21, paragraphe 2, point b), de la directive (UE) 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3.2.3.k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3.2.3.k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3.2.3.l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3.6.2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Continuité des activités et gestion des crises [article 21, paragraphe 2, point c), de la directive (UE) 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Gestion des actifs [article 21, paragraphe 2, point i), de la directive (UE) 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Sécurité de la chaîne d’approvisionnement [article 21, paragraphe 2, point d), de la directive (UE) 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5.1.7.a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5.1.7.a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5.1.7.b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5.1.7.b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5.1.7.c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5.1.7.c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5.1.7.d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5.1.7.d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Général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5.2-1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Sécurité de l’acquisition, du développement et de la maintenance des réseaux et des systèmes d’information [article 21, paragraphe 2, point e), de la directive (UE) 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6.7.2.k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6.7.2.k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6.7.2.l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6.9.1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6.9.2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6.9.2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Politiques et procédures visant à évaluer l’efficacité des mesures de gestion des risques en matière de cybersécurité [article 21, paragraphe 2, point f), de la directive (UE) 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Pratiques de base en matière de cyberhygiène et formation à la sécurité [article 21, paragraphe 2, point g), de la directive (UE) 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Cryptographie [article 21, paragraphe 2, point h), de la directive (UE) 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9.2.c.iv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9.2.c.iv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9.2.c.v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9.2.c.v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9.2.c.vi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9.2.c.vi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9.2.c.vii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9.2.c.vii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9.2.c.viii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9.2.c.viii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9.2.c.ix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9.2.c.ix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9.2.c.x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9.2.c.x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9.2.c.xi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9.2.c.xi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9.2.c.xii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9.2.c.xii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Sécurité des ressources humaines [article 21, paragraphe 2, point i), de la directive (UE) 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Contrôle d’accès [article 21, paragraphe 2, points i) et j), de la directive (UE) 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Sécurité environnementale et physique [article 21, paragraphe 2, points c), e) et i), de la directive (UE) 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Ce rapport est confidentiel. Il est destiné exclusivement au client. Toute reproduction ou diffusion à un tiers est interdite sans accord écrit préalable.</w:t>
      </w:r>
    </w:p>
    <w:sectPr>
      <w:headerReference w:type="default" r:id="rId9"/>
      <w:footerReference w:type="default" r:id="rId10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4"/>
        <w:szCs w:val="14"/>
      </w:rPr>
      <w:t xml:space="preserve">Cabinet Démo · SIRET 79109030100015 · 28 Avenue Mal Leclerc et de sa Division, 94380 Bonneuil-sur-Marne</w:t>
    </w:r>
  </w:p>
  <w:p>
    <w:pPr>
      <w:spacing w:before="60"/>
      <w:jc w:val="center"/>
    </w:pPr>
    <w:r>
      <w:rPr>
        <w:color w:val="94A3B8"/>
        <w:sz w:val="14"/>
        <w:szCs w:val="14"/>
      </w:rPr>
      <w:t xml:space="preserve">Page </w:t>
    </w:r>
    <w:r>
      <w:rPr>
        <w:b/>
        <w:bCs/>
        <w:color w:val="6366F1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94A3B8"/>
        <w:sz w:val="14"/>
        <w:szCs w:val="14"/>
      </w:rPr>
      <w:t xml:space="preserve"> / </w:t>
    </w:r>
    <w:r>
      <w:rPr>
        <w:b/>
        <w:bCs/>
        <w:color w:val="6366F1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contrôles · NIS2 · TEST_PME Garonne Industries</dc:title>
  <dc:creator>Cabinet Démo</dc:creator>
  <cp:lastModifiedBy>Un-named</cp:lastModifiedBy>
  <cp:revision>1</cp:revision>
  <dcterms:created xsi:type="dcterms:W3CDTF">2026-10-22T01:21:40.882Z</dcterms:created>
  <dcterms:modified xsi:type="dcterms:W3CDTF">2026-10-22T01:21:40.882Z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