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6366F1" w:sz="48" w:space="1"/>
        </w:pBdr>
        <w:spacing w:after="240" w:before="0"/>
      </w:pPr>
      <w:r>
        <w:rPr>
          <w:sz w:val="2"/>
          <w:szCs w:val="2"/>
        </w:rPr>
        <w:t xml:space="preserve"/>
      </w:r>
    </w:p>
    <w:p>
      <w:pPr>
        <w:spacing w:after="200" w:before="80"/>
        <w:jc w:val="center"/>
      </w:pPr>
      <w:r>
        <w:rPr>
          <w:rFonts w:ascii="Inter Tight" w:cs="Inter Tight" w:eastAsia="Inter Tight" w:hAnsi="Inter Tight"/>
          <w:b/>
          <w:bCs/>
          <w:color w:val="6366F1"/>
          <w:sz w:val="18"/>
          <w:szCs w:val="18"/>
        </w:rPr>
        <w:t xml:space="preserve">EBIOS RISK MANAGER</w:t>
      </w:r>
    </w:p>
    <w:p>
      <w:pPr>
        <w:spacing w:after="400"/>
        <w:jc w:val="center"/>
      </w:pPr>
      <w:r>
        <w:rPr>
          <w:b/>
          <w:bCs/>
          <w:color w:val="6366F1"/>
          <w:sz w:val="44"/>
          <w:szCs w:val="44"/>
        </w:rPr>
        <w:t xml:space="preserve">Stelysia</w:t>
      </w:r>
    </w:p>
    <w:p>
      <w:pPr>
        <w:pBdr>
          <w:bottom w:val="single" w:color="6366F1" w:sz="16" w:space="8"/>
        </w:pBdr>
        <w:spacing w:after="100" w:before="600"/>
        <w:jc w:val="center"/>
      </w:pPr>
      <w:r>
        <w:rPr>
          <w:rFonts w:ascii="Source Serif 4" w:cs="Source Serif 4" w:eastAsia="Source Serif 4" w:hAnsi="Source Serif 4"/>
          <w:b/>
          <w:bCs/>
          <w:color w:val="0F172A"/>
          <w:sz w:val="56"/>
          <w:szCs w:val="56"/>
        </w:rPr>
        <w:t xml:space="preserve">Analyse EBIOS Risk Manager</w:t>
      </w:r>
    </w:p>
    <w:p>
      <w:pPr>
        <w:spacing w:after="600"/>
        <w:jc w:val="center"/>
      </w:pPr>
      <w:r>
        <w:rPr>
          <w:i/>
          <w:iCs/>
          <w:color w:val="666666"/>
          <w:sz w:val="28"/>
          <w:szCs w:val="28"/>
        </w:rPr>
        <w:t xml:space="preserve">Analyse EBIOS RM — TEST_PME Garonne Industries</w:t>
      </w:r>
    </w:p>
    <w:p>
      <w:pPr>
        <w:spacing w:after="80"/>
        <w:jc w:val="center"/>
      </w:pPr>
      <w:r>
        <w:rPr>
          <w:b/>
          <w:bCs/>
          <w:sz w:val="36"/>
          <w:szCs w:val="36"/>
        </w:rPr>
        <w:t xml:space="preserve">TEST_PME Garonne Industries</w:t>
      </w:r>
    </w:p>
    <w:p>
      <w:pPr>
        <w:jc w:val="center"/>
      </w:pPr>
      <w:r>
        <w:rPr>
          <w:i/>
          <w:iCs/>
          <w:color w:val="666666"/>
          <w:sz w:val="22"/>
          <w:szCs w:val="22"/>
        </w:rPr>
        <w:t xml:space="preserve">Industrie / Manufacturing</w:t>
      </w:r>
    </w:p>
    <w:p>
      <w:pPr>
        <w:spacing w:after="80" w:before="400"/>
        <w:jc w:val="center"/>
      </w:pPr>
      <w:r>
        <w:rPr>
          <w:color w:val="666666"/>
        </w:rPr>
        <w:t xml:space="preserve">Date : </w:t>
      </w:r>
      <w:r>
        <w:t xml:space="preserve">05 juin 2026</w:t>
      </w:r>
    </w:p>
    <w:p>
      <w:pPr>
        <w:spacing w:before="80"/>
        <w:jc w:val="center"/>
      </w:pPr>
      <w:r>
        <w:rPr>
          <w:color w:val="666666"/>
        </w:rPr>
        <w:t xml:space="preserve">Version : </w:t>
      </w:r>
      <w:r>
        <w:rPr>
          <w:b/>
          <w:bCs/>
          <w:color w:val="1F2937"/>
        </w:rPr>
        <w:t xml:space="preserve">1.0</w:t>
      </w:r>
    </w:p>
    <w:p>
      <w:pPr>
        <w:spacing w:after="60" w:before="800"/>
        <w:jc w:val="center"/>
      </w:pPr>
      <w:r>
        <w:rPr>
          <w:b/>
          <w:bCs/>
        </w:rPr>
        <w:t xml:space="preserve">Stéphane Benoist</w:t>
      </w:r>
      <w:r>
        <w:rPr>
          <w:color w:val="666666"/>
        </w:rPr>
        <w:t xml:space="preserve"> — DSI à temps partagé</w:t>
      </w:r>
    </w:p>
    <w:p>
      <w:pPr>
        <w:jc w:val="center"/>
      </w:pPr>
      <w:r>
        <w:rPr>
          <w:color w:val="666666"/>
          <w:sz w:val="18"/>
          <w:szCs w:val="18"/>
        </w:rPr>
        <w:t xml:space="preserve">stephane@stelysia.fr · </w:t>
      </w:r>
    </w:p>
    <w:p>
      <w:r>
        <w:br w:type="page"/>
      </w:r>
    </w:p>
    <w:p>
      <w:pPr>
        <w:pStyle w:val="Heading1"/>
        <w:spacing w:after="120" w:before="240"/>
      </w:pPr>
      <w:r>
        <w:rPr>
          <w:b/>
          <w:bCs/>
          <w:color w:val="6366F1"/>
          <w:sz w:val="32"/>
          <w:szCs w:val="32"/>
        </w:rPr>
        <w:t xml:space="preserve">Sommaire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shd w:fill="6366F1"/>
          </w:tcPr>
          <w:p>
            <w:r>
              <w:rPr>
                <w:b/>
                <w:bCs/>
                <w:color w:val="FFFFFF"/>
                <w:sz w:val="20"/>
                <w:szCs w:val="20"/>
              </w:rPr>
              <w:t xml:space="preserve">Section</w:t>
            </w:r>
          </w:p>
        </w:tc>
        <w:tc>
          <w:tcPr>
            <w:tcW w:type="pct" w:w="50%"/>
            <w:shd w:fill="6366F1"/>
          </w:tcPr>
          <w:p>
            <w:r>
              <w:rPr>
                <w:b/>
                <w:bCs/>
                <w:color w:val="FFFFFF"/>
                <w:sz w:val="20"/>
                <w:szCs w:val="20"/>
              </w:rPr>
              <w:t xml:space="preserve">Résumé</w:t>
            </w:r>
          </w:p>
        </w:tc>
      </w:tr>
      <w:tr>
        <w:tc>
          <w:tcPr>
            <w:tcW w:type="pct" w:w="50%"/>
          </w:tcPr>
          <w:p>
            <w:r>
              <w:rPr>
                <w:b w:val="false"/>
                <w:bCs w:val="false"/>
                <w:color w:val="334155"/>
                <w:sz w:val="20"/>
                <w:szCs w:val="20"/>
              </w:rPr>
              <w:t xml:space="preserve">Atelier 1 — Cadrage &amp; périmètre</w:t>
            </w:r>
          </w:p>
        </w:tc>
        <w:tc>
          <w:tcPr>
            <w:tcW w:type="pct" w:w="50%"/>
          </w:tcPr>
          <w:p>
            <w:r>
              <w:rPr>
                <w:b w:val="false"/>
                <w:bCs w:val="false"/>
                <w:color w:val="334155"/>
                <w:sz w:val="20"/>
                <w:szCs w:val="20"/>
              </w:rPr>
              <w:t xml:space="preserve">0 missions, 0 biens essentiels, 0 événements redoutés</w:t>
            </w:r>
          </w:p>
        </w:tc>
      </w:tr>
      <w:tr>
        <w:tc>
          <w:tcPr>
            <w:tcW w:type="pct" w:w="50%"/>
          </w:tcPr>
          <w:p>
            <w:r>
              <w:rPr>
                <w:b w:val="false"/>
                <w:bCs w:val="false"/>
                <w:color w:val="334155"/>
                <w:sz w:val="20"/>
                <w:szCs w:val="20"/>
              </w:rPr>
              <w:t xml:space="preserve">Atelier 2 — Sources de risque</w:t>
            </w:r>
          </w:p>
        </w:tc>
        <w:tc>
          <w:tcPr>
            <w:tcW w:type="pct" w:w="50%"/>
          </w:tcPr>
          <w:p>
            <w:r>
              <w:rPr>
                <w:b w:val="false"/>
                <w:bCs w:val="false"/>
                <w:color w:val="334155"/>
                <w:sz w:val="20"/>
                <w:szCs w:val="20"/>
              </w:rPr>
              <w:t xml:space="preserve">0 sources, 0 objectifs visés</w:t>
            </w:r>
          </w:p>
        </w:tc>
      </w:tr>
      <w:tr>
        <w:tc>
          <w:tcPr>
            <w:tcW w:type="pct" w:w="50%"/>
          </w:tcPr>
          <w:p>
            <w:r>
              <w:rPr>
                <w:b w:val="false"/>
                <w:bCs w:val="false"/>
                <w:color w:val="334155"/>
                <w:sz w:val="20"/>
                <w:szCs w:val="20"/>
              </w:rPr>
              <w:t xml:space="preserve">Atelier 3 — Scénarios stratégiques</w:t>
            </w:r>
          </w:p>
        </w:tc>
        <w:tc>
          <w:tcPr>
            <w:tcW w:type="pct" w:w="50%"/>
          </w:tcPr>
          <w:p>
            <w:r>
              <w:rPr>
                <w:b w:val="false"/>
                <w:bCs w:val="false"/>
                <w:color w:val="334155"/>
                <w:sz w:val="20"/>
                <w:szCs w:val="20"/>
              </w:rPr>
              <w:t xml:space="preserve">0 parties prenantes, 0 scénarios</w:t>
            </w:r>
          </w:p>
        </w:tc>
      </w:tr>
      <w:tr>
        <w:tc>
          <w:tcPr>
            <w:tcW w:type="pct" w:w="50%"/>
          </w:tcPr>
          <w:p>
            <w:r>
              <w:rPr>
                <w:b w:val="false"/>
                <w:bCs w:val="false"/>
                <w:color w:val="334155"/>
                <w:sz w:val="20"/>
                <w:szCs w:val="20"/>
              </w:rPr>
              <w:t xml:space="preserve">Atelier 4 — Scénarios opérationnels</w:t>
            </w:r>
          </w:p>
        </w:tc>
        <w:tc>
          <w:tcPr>
            <w:tcW w:type="pct" w:w="50%"/>
          </w:tcPr>
          <w:p>
            <w:r>
              <w:rPr>
                <w:b w:val="false"/>
                <w:bCs w:val="false"/>
                <w:color w:val="334155"/>
                <w:sz w:val="20"/>
                <w:szCs w:val="20"/>
              </w:rPr>
              <w:t xml:space="preserve">0 scénarios, 0 actions MITRE</w:t>
            </w:r>
          </w:p>
        </w:tc>
      </w:tr>
      <w:tr>
        <w:tc>
          <w:tcPr>
            <w:tcW w:type="pct" w:w="50%"/>
          </w:tcPr>
          <w:p>
            <w:r>
              <w:rPr>
                <w:b w:val="false"/>
                <w:bCs w:val="false"/>
                <w:color w:val="334155"/>
                <w:sz w:val="20"/>
                <w:szCs w:val="20"/>
              </w:rPr>
              <w:t xml:space="preserve">Atelier 5 — Traitement du risque</w:t>
            </w:r>
          </w:p>
        </w:tc>
        <w:tc>
          <w:tcPr>
            <w:tcW w:type="pct" w:w="50%"/>
          </w:tcPr>
          <w:p>
            <w:r>
              <w:rPr>
                <w:b w:val="false"/>
                <w:bCs w:val="false"/>
                <w:color w:val="334155"/>
                <w:sz w:val="20"/>
                <w:szCs w:val="20"/>
              </w:rPr>
              <w:t xml:space="preserve">0 mesures, 0 risques résiduels</w:t>
            </w:r>
          </w:p>
        </w:tc>
      </w:tr>
    </w:tbl>
    <w:p>
      <w:pPr>
        <w:pStyle w:val="Heading1"/>
        <w:pageBreakBefore/>
        <w:spacing w:after="120" w:before="240"/>
      </w:pPr>
      <w:r>
        <w:rPr>
          <w:b/>
          <w:bCs/>
          <w:color w:val="6366F1"/>
          <w:sz w:val="32"/>
          <w:szCs w:val="32"/>
        </w:rPr>
        <w:t xml:space="preserve">Atelier 1 — Cadrage &amp; périmètre</w:t>
      </w:r>
    </w:p>
    <w:p>
      <w:pPr>
        <w:pStyle w:val="Heading2"/>
        <w:spacing w:after="120" w:before="240"/>
      </w:pPr>
      <w:r>
        <w:rPr>
          <w:b/>
          <w:bCs/>
          <w:color w:val="6366F1"/>
          <w:sz w:val="26"/>
          <w:szCs w:val="26"/>
        </w:rPr>
        <w:t xml:space="preserve">Missions de l'organisation</w:t>
      </w:r>
    </w:p>
    <w:p>
      <w:pPr>
        <w:spacing w:after="100"/>
      </w:pPr>
      <w:r>
        <w:rPr>
          <w:sz w:val="22"/>
          <w:szCs w:val="22"/>
        </w:rPr>
        <w:t xml:space="preserve">Aucune mission enregistrée.</w:t>
      </w:r>
    </w:p>
    <w:p>
      <w:pPr>
        <w:pStyle w:val="Heading2"/>
        <w:spacing w:after="120" w:before="240"/>
      </w:pPr>
      <w:r>
        <w:rPr>
          <w:b/>
          <w:bCs/>
          <w:color w:val="6366F1"/>
          <w:sz w:val="26"/>
          <w:szCs w:val="26"/>
        </w:rPr>
        <w:t xml:space="preserve">Biens essentiels</w:t>
      </w:r>
    </w:p>
    <w:p>
      <w:pPr>
        <w:spacing w:after="100"/>
      </w:pPr>
      <w:r>
        <w:rPr>
          <w:sz w:val="22"/>
          <w:szCs w:val="22"/>
        </w:rPr>
        <w:t xml:space="preserve">Aucun bien essentiel enregistré.</w:t>
      </w:r>
    </w:p>
    <w:p>
      <w:pPr>
        <w:pStyle w:val="Heading2"/>
        <w:spacing w:after="120" w:before="240"/>
      </w:pPr>
      <w:r>
        <w:rPr>
          <w:b/>
          <w:bCs/>
          <w:color w:val="6366F1"/>
          <w:sz w:val="26"/>
          <w:szCs w:val="26"/>
        </w:rPr>
        <w:t xml:space="preserve">Événements redoutés</w:t>
      </w:r>
    </w:p>
    <w:p>
      <w:pPr>
        <w:spacing w:after="100"/>
      </w:pPr>
      <w:r>
        <w:rPr>
          <w:sz w:val="22"/>
          <w:szCs w:val="22"/>
        </w:rPr>
        <w:t xml:space="preserve">Aucun événement redouté enregistré.</w:t>
      </w:r>
    </w:p>
    <w:p>
      <w:pPr>
        <w:pStyle w:val="Heading2"/>
        <w:spacing w:after="120" w:before="240"/>
      </w:pPr>
      <w:r>
        <w:rPr>
          <w:b/>
          <w:bCs/>
          <w:color w:val="6366F1"/>
          <w:sz w:val="26"/>
          <w:szCs w:val="26"/>
        </w:rPr>
        <w:t xml:space="preserve">Socle de sécurité ANSSI</w:t>
      </w:r>
    </w:p>
    <w:p>
      <w:pPr>
        <w:spacing w:after="100"/>
      </w:pPr>
      <w:r>
        <w:rPr>
          <w:sz w:val="22"/>
          <w:szCs w:val="22"/>
        </w:rPr>
        <w:t xml:space="preserve">Aucune mesure de socle enregistrée.</w:t>
      </w:r>
    </w:p>
    <w:p>
      <w:pPr>
        <w:pStyle w:val="Heading1"/>
        <w:pageBreakBefore/>
        <w:spacing w:after="120" w:before="240"/>
      </w:pPr>
      <w:r>
        <w:rPr>
          <w:b/>
          <w:bCs/>
          <w:color w:val="6366F1"/>
          <w:sz w:val="32"/>
          <w:szCs w:val="32"/>
        </w:rPr>
        <w:t xml:space="preserve">Atelier 2 — Sources de risque</w:t>
      </w:r>
    </w:p>
    <w:p>
      <w:pPr>
        <w:pStyle w:val="Heading2"/>
        <w:spacing w:after="120" w:before="240"/>
      </w:pPr>
      <w:r>
        <w:rPr>
          <w:b/>
          <w:bCs/>
          <w:color w:val="6366F1"/>
          <w:sz w:val="26"/>
          <w:szCs w:val="26"/>
        </w:rPr>
        <w:t xml:space="preserve">Sources de risque</w:t>
      </w:r>
    </w:p>
    <w:p>
      <w:pPr>
        <w:spacing w:after="100"/>
      </w:pPr>
      <w:r>
        <w:rPr>
          <w:sz w:val="22"/>
          <w:szCs w:val="22"/>
        </w:rPr>
        <w:t xml:space="preserve">Aucune source de risque enregistrée.</w:t>
      </w:r>
    </w:p>
    <w:p>
      <w:pPr>
        <w:pStyle w:val="Heading1"/>
        <w:pageBreakBefore/>
        <w:spacing w:after="120" w:before="240"/>
      </w:pPr>
      <w:r>
        <w:rPr>
          <w:b/>
          <w:bCs/>
          <w:color w:val="6366F1"/>
          <w:sz w:val="32"/>
          <w:szCs w:val="32"/>
        </w:rPr>
        <w:t xml:space="preserve">Atelier 3 — Scénarios stratégiques</w:t>
      </w:r>
    </w:p>
    <w:p>
      <w:pPr>
        <w:pStyle w:val="Heading2"/>
        <w:spacing w:after="120" w:before="240"/>
      </w:pPr>
      <w:r>
        <w:rPr>
          <w:b/>
          <w:bCs/>
          <w:color w:val="6366F1"/>
          <w:sz w:val="26"/>
          <w:szCs w:val="26"/>
        </w:rPr>
        <w:t xml:space="preserve">Parties prenantes</w:t>
      </w:r>
    </w:p>
    <w:p>
      <w:pPr>
        <w:spacing w:after="100"/>
      </w:pPr>
      <w:r>
        <w:rPr>
          <w:sz w:val="22"/>
          <w:szCs w:val="22"/>
        </w:rPr>
        <w:t xml:space="preserve">Aucune partie prenante enregistrée.</w:t>
      </w:r>
    </w:p>
    <w:p>
      <w:pPr>
        <w:pStyle w:val="Heading2"/>
        <w:spacing w:after="120" w:before="240"/>
      </w:pPr>
      <w:r>
        <w:rPr>
          <w:b/>
          <w:bCs/>
          <w:color w:val="6366F1"/>
          <w:sz w:val="26"/>
          <w:szCs w:val="26"/>
        </w:rPr>
        <w:t xml:space="preserve">Scénarios stratégiques</w:t>
      </w:r>
    </w:p>
    <w:p>
      <w:pPr>
        <w:spacing w:after="100"/>
      </w:pPr>
      <w:r>
        <w:rPr>
          <w:sz w:val="22"/>
          <w:szCs w:val="22"/>
        </w:rPr>
        <w:t xml:space="preserve">Aucun scénario stratégique enregistré.</w:t>
      </w:r>
    </w:p>
    <w:p>
      <w:pPr>
        <w:pStyle w:val="Heading1"/>
        <w:pageBreakBefore/>
        <w:spacing w:after="120" w:before="240"/>
      </w:pPr>
      <w:r>
        <w:rPr>
          <w:b/>
          <w:bCs/>
          <w:color w:val="6366F1"/>
          <w:sz w:val="32"/>
          <w:szCs w:val="32"/>
        </w:rPr>
        <w:t xml:space="preserve">Atelier 4 — Scénarios opérationnels</w:t>
      </w:r>
    </w:p>
    <w:p>
      <w:pPr>
        <w:spacing w:after="100"/>
      </w:pPr>
      <w:r>
        <w:rPr>
          <w:sz w:val="22"/>
          <w:szCs w:val="22"/>
        </w:rPr>
        <w:t xml:space="preserve">Aucun scénario opérationnel enregistré.</w:t>
      </w:r>
    </w:p>
    <w:p>
      <w:pPr>
        <w:pStyle w:val="Heading1"/>
        <w:pageBreakBefore/>
        <w:spacing w:after="120" w:before="240"/>
      </w:pPr>
      <w:r>
        <w:rPr>
          <w:b/>
          <w:bCs/>
          <w:color w:val="6366F1"/>
          <w:sz w:val="32"/>
          <w:szCs w:val="32"/>
        </w:rPr>
        <w:t xml:space="preserve">Atelier 5 — Traitement du risque</w:t>
      </w:r>
    </w:p>
    <w:p>
      <w:pPr>
        <w:pStyle w:val="Heading2"/>
        <w:spacing w:after="120" w:before="240"/>
      </w:pPr>
      <w:r>
        <w:rPr>
          <w:b/>
          <w:bCs/>
          <w:color w:val="6366F1"/>
          <w:sz w:val="26"/>
          <w:szCs w:val="26"/>
        </w:rPr>
        <w:t xml:space="preserve">Mesures de traitement par jalon</w:t>
      </w:r>
    </w:p>
    <w:p>
      <w:pPr>
        <w:spacing w:after="100"/>
      </w:pPr>
      <w:r>
        <w:rPr>
          <w:sz w:val="22"/>
          <w:szCs w:val="22"/>
        </w:rPr>
        <w:t xml:space="preserve">Aucune mesure de traitement enregistrée.</w:t>
      </w:r>
    </w:p>
    <w:p>
      <w:pPr>
        <w:pStyle w:val="Heading2"/>
        <w:spacing w:after="120" w:before="240"/>
      </w:pPr>
      <w:r>
        <w:rPr>
          <w:b/>
          <w:bCs/>
          <w:color w:val="6366F1"/>
          <w:sz w:val="26"/>
          <w:szCs w:val="26"/>
        </w:rPr>
        <w:t xml:space="preserve">Risques résiduels</w:t>
      </w:r>
    </w:p>
    <w:p>
      <w:pPr>
        <w:spacing w:after="100"/>
      </w:pPr>
      <w:r>
        <w:rPr>
          <w:sz w:val="22"/>
          <w:szCs w:val="22"/>
        </w:rPr>
        <w:t xml:space="preserve">Aucun risque résiduel enregistré.</w:t>
      </w:r>
    </w:p>
    <w:p>
      <w:pPr>
        <w:pStyle w:val="Heading1"/>
        <w:pageBreakBefore/>
        <w:spacing w:after="120" w:before="240"/>
      </w:pPr>
      <w:r>
        <w:rPr>
          <w:b/>
          <w:bCs/>
          <w:color w:val="6366F1"/>
          <w:sz w:val="32"/>
          <w:szCs w:val="32"/>
        </w:rPr>
        <w:t xml:space="preserve">Annexe — Méthodologie EBIOS Risk Manager v1.5</w:t>
      </w:r>
    </w:p>
    <w:p>
      <w:pPr>
        <w:spacing w:after="100"/>
      </w:pPr>
      <w:r>
        <w:rPr>
          <w:sz w:val="22"/>
          <w:szCs w:val="22"/>
        </w:rPr>
        <w:t xml:space="preserve">EBIOS Risk Manager est la méthode officielle de l'ANSSI (Agence nationale de la sécurité des systèmes d'information) pour apprécier et traiter les risques numériques. La version 1.5 publiée en 2018 constitue la référence réglementaire pour les opérateurs d'importance vitale (OIV) et les opérateurs de services essentiels (OSE).</w:t>
      </w:r>
    </w:p>
    <w:p>
      <w:pPr>
        <w:spacing w:after="100"/>
      </w:pPr>
      <w:r>
        <w:rPr>
          <w:sz w:val="22"/>
          <w:szCs w:val="22"/>
        </w:rPr>
        <w:t xml:space="preserve">L'Atelier 1 — Cadrage et socle de sécurité — définit le périmètre de l'étude, les missions métier soutenues par le système étudié, les biens essentiels (processus et informations critiques), les événements redoutés potentiels et leur niveau de gravité, ainsi que l'état du socle de sécurité ANSSI en place.</w:t>
      </w:r>
    </w:p>
    <w:p>
      <w:pPr>
        <w:spacing w:after="100"/>
      </w:pPr>
      <w:r>
        <w:rPr>
          <w:sz w:val="22"/>
          <w:szCs w:val="22"/>
        </w:rPr>
        <w:t xml:space="preserve">L'Atelier 2 — Sources de risque — identifie les entités (humaines ou systémiques) susceptibles de générer des risques, évalue leur motivation et leurs ressources, et formule les objectifs visés associés. Seules les sources retenues alimentent la suite de l'analyse.</w:t>
      </w:r>
    </w:p>
    <w:p>
      <w:pPr>
        <w:spacing w:after="100"/>
      </w:pPr>
      <w:r>
        <w:rPr>
          <w:sz w:val="22"/>
          <w:szCs w:val="22"/>
        </w:rPr>
        <w:t xml:space="preserve">L'Atelier 3 — Scénarios stratégiques — construit des chemins d'attaque de haut niveau en couplant chaque source de risque retenue à des parties prenantes de l'écosystème. La zone de confiance de chaque partie prenante (maîtrisée, standard, non maîtrisée) conditionne le niveau de gravité des scénarios.</w:t>
      </w:r>
    </w:p>
    <w:p>
      <w:pPr>
        <w:spacing w:after="100"/>
      </w:pPr>
      <w:r>
        <w:rPr>
          <w:sz w:val="22"/>
          <w:szCs w:val="22"/>
        </w:rPr>
        <w:t xml:space="preserve">L'Atelier 4 — Scénarios opérationnels — décline chaque scénario stratégique en séquences techniques détaillées, modélisées selon le framework MITRE ATT&amp;CK (phases, tactiques, techniques). La vraisemblance de chaque scénario est cotée de 1 (minime) à 4 (maximale).</w:t>
      </w:r>
    </w:p>
    <w:p>
      <w:pPr>
        <w:spacing w:after="100"/>
      </w:pPr>
      <w:r>
        <w:rPr>
          <w:sz w:val="22"/>
          <w:szCs w:val="22"/>
        </w:rPr>
        <w:t xml:space="preserve">L'Atelier 5 — Traitement du risque — définit les mesures de sécurité permettant de ramener les risques à un niveau acceptable, les organise par jalons de mise en œuvre, et évalue les risques résiduels après application des mesures. Ce plan de traitement constitue la feuille de route sécurité opérationnelle.</w:t>
      </w:r>
    </w:p>
    <w:sectPr>
      <w:headerReference w:type="default" r:id="rId7"/>
      <w:headerReference w:type="first" r:id="rId8"/>
      <w:footerReference w:type="default" r:id="rId9"/>
      <w:footerReference w:type="first" r:id="rId10"/>
      <w:pgSz w:w="11906" w:h="16838" w:orient="portrait"/>
      <w:pgMar w:top="1100" w:right="1100" w:bottom="1100" w:left="110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Stelysia · SIRET 79109030100015 · 28 Avenue Mal Leclerc et de sa Division, 94380 Bonneuil-sur-Marne</w:t>
    </w:r>
  </w:p>
  <w:p>
    <w:pPr>
      <w:spacing w:before="60"/>
      <w:jc w:val="center"/>
    </w:pPr>
    <w:r>
      <w:rPr>
        <w:color w:val="94A3B8"/>
        <w:sz w:val="14"/>
        <w:szCs w:val="14"/>
      </w:rPr>
      <w:t xml:space="preserve">Page </w:t>
    </w:r>
    <w:r>
      <w:rPr>
        <w:b/>
        <w:bCs/>
        <w:color w:val="6366F1"/>
        <w:sz w:val="14"/>
        <w:szCs w:val="14"/>
      </w:rPr>
      <w:fldChar w:fldCharType="begin"/>
      <w:instrText xml:space="preserve">PAGE</w:instrText>
      <w:fldChar w:fldCharType="separate"/>
      <w:fldChar w:fldCharType="end"/>
    </w:r>
    <w:r>
      <w:rPr>
        <w:color w:val="94A3B8"/>
        <w:sz w:val="14"/>
        <w:szCs w:val="14"/>
      </w:rPr>
      <w:t xml:space="preserve"> / </w:t>
    </w:r>
    <w:r>
      <w:rPr>
        <w:b/>
        <w:bCs/>
        <w:color w:val="6366F1"/>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2026-06-05T23:07:37.639Z</dcterms:created>
  <dcterms:modified xsi:type="dcterms:W3CDTF">2026-06-05T23:07:37.639Z</dcterms:modified>
</cp:coreProperties>
</file>

<file path=docProps/custom.xml><?xml version="1.0" encoding="utf-8"?>
<Properties xmlns="http://schemas.openxmlformats.org/officeDocument/2006/custom-properties" xmlns:vt="http://schemas.openxmlformats.org/officeDocument/2006/docPropsVTypes"/>
</file>