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20" w:before="400"/>
        <w:jc w:val="center"/>
      </w:pPr>
      <w:r>
        <w:rPr>
          <w:b/>
          <w:bCs/>
          <w:color w:val="6366F1"/>
          <w:sz w:val="36"/>
          <w:szCs w:val="36"/>
        </w:rPr>
        <w:t xml:space="preserve">Cabinet Démo</w:t>
      </w:r>
    </w:p>
    <w:p>
      <w:pPr>
        <w:spacing w:after="100" w:before="600"/>
        <w:jc w:val="center"/>
      </w:pPr>
      <w:r>
        <w:rPr>
          <w:b/>
          <w:bCs/>
          <w:color w:val="6366F1"/>
          <w:sz w:val="56"/>
          <w:szCs w:val="56"/>
        </w:rPr>
        <w:t xml:space="preserve">PLAN DE TRAITEMENT</w:t>
      </w:r>
    </w:p>
    <w:p>
      <w:pPr>
        <w:spacing w:after="600"/>
        <w:jc w:val="center"/>
      </w:pPr>
      <w:r>
        <w:rPr>
          <w:i/>
          <w:iCs/>
          <w:color w:val="475569"/>
          <w:sz w:val="28"/>
          <w:szCs w:val="28"/>
        </w:rPr>
        <w:t xml:space="preserve">Mesures de traitement des risques · Suivi Kanban</w:t>
      </w:r>
    </w:p>
    <w:p>
      <w:pPr>
        <w:spacing w:after="200"/>
        <w:jc w:val="center"/>
      </w:pPr>
      <w:r>
        <w:rPr>
          <w:b/>
          <w:bCs/>
          <w:color w:val="1E293B"/>
          <w:sz w:val="40"/>
          <w:szCs w:val="40"/>
        </w:rPr>
        <w:t xml:space="preserve">TEST_TPE Duval Artisanat</w:t>
      </w:r>
    </w:p>
    <w:p>
      <w:pPr>
        <w:spacing w:after="600" w:before="200"/>
        <w:jc w:val="center"/>
      </w:pPr>
      <w:r>
        <w:rPr>
          <w:color w:val="94A3B8"/>
          <w:sz w:val="22"/>
          <w:szCs w:val="22"/>
        </w:rPr>
        <w:t xml:space="preserve">Date d'édition : </w:t>
      </w:r>
      <w:r>
        <w:rPr>
          <w:b/>
          <w:bCs/>
          <w:sz w:val="22"/>
          <w:szCs w:val="22"/>
        </w:rPr>
        <w:t xml:space="preserve">22/10/2026</w:t>
      </w:r>
    </w:p>
    <w:p>
      <w:r>
        <w:br w:type="page"/>
      </w:r>
    </w:p>
    <w:p>
      <w:pPr>
        <w:pStyle w:val="Heading1"/>
        <w:spacing w:after="140" w:before="280"/>
      </w:pPr>
      <w:r>
        <w:rPr>
          <w:b/>
          <w:bCs/>
          <w:color w:val="6366f1"/>
          <w:sz w:val="36"/>
          <w:szCs w:val="36"/>
        </w:rPr>
        <w:t xml:space="preserve">1. Synthèse exécutive</w:t>
      </w:r>
    </w:p>
    <w:p>
      <w:pPr>
        <w:spacing w:after="100"/>
      </w:pPr>
      <w:r>
        <w:rPr>
          <w:sz w:val="22"/>
          <w:szCs w:val="22"/>
        </w:rPr>
        <w:t xml:space="preserve">Ce plan présente les mesures de traitement pour TEST_TPE Duval Artisanat à la date du 22/10/2026. Au total, 0 mesure est suivie.</w:t>
      </w:r>
    </w:p>
    <w:p>
      <w:pPr>
        <w:spacing w:after="120"/>
      </w:pPr>
      <w:r>
        <w:rPr>
          <w:sz w:val="20"/>
          <w:szCs w:val="20"/>
        </w:rPr>
        <w:t xml:space="preserve"/>
      </w:r>
    </w:p>
    <w:p>
      <w:pPr>
        <w:pStyle w:val="Heading2"/>
        <w:spacing w:after="140" w:before="280"/>
      </w:pPr>
      <w:r>
        <w:rPr>
          <w:b/>
          <w:bCs/>
          <w:color w:val="6366f1"/>
          <w:sz w:val="28"/>
          <w:szCs w:val="28"/>
        </w:rPr>
        <w:t xml:space="preserve">Indicateurs clés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50%"/>
            <w:shd w:fill="6366f1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Indicateur</w:t>
            </w:r>
          </w:p>
        </w:tc>
        <w:tc>
          <w:tcPr>
            <w:tcW w:type="pct" w:w="50%"/>
            <w:shd w:fill="6366f1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Valeur</w:t>
            </w:r>
          </w:p>
        </w:tc>
      </w:tr>
      <w:tr>
        <w:trPr>
          <w:tblHeader w:val="false"/>
        </w:trPr>
        <w:tc>
          <w:tcPr>
            <w:tcW w:type="pct" w:w="50%"/>
          </w:tcPr>
          <w:p>
            <w:r>
              <w:rPr>
                <w:b w:val="false"/>
                <w:bCs w:val="false"/>
                <w:color w:val="1e293b"/>
                <w:sz w:val="20"/>
                <w:szCs w:val="20"/>
              </w:rPr>
              <w:t xml:space="preserve">Nombre total de mesures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  <w:color w:val="1e293b"/>
                <w:sz w:val="20"/>
                <w:szCs w:val="20"/>
              </w:rPr>
              <w:t xml:space="preserve">0</w:t>
            </w:r>
          </w:p>
        </w:tc>
      </w:tr>
      <w:tr>
        <w:trPr>
          <w:tblHeader w:val="false"/>
        </w:trPr>
        <w:tc>
          <w:tcPr>
            <w:tcW w:type="pct" w:w="50%"/>
          </w:tcPr>
          <w:p>
            <w:r>
              <w:rPr>
                <w:b w:val="false"/>
                <w:bCs w:val="false"/>
                <w:color w:val="1e293b"/>
                <w:sz w:val="20"/>
                <w:szCs w:val="20"/>
              </w:rPr>
              <w:t xml:space="preserve">Mesures en retard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  <w:color w:val="1e293b"/>
                <w:sz w:val="20"/>
                <w:szCs w:val="20"/>
              </w:rPr>
              <w:t xml:space="preserve">0</w:t>
            </w:r>
          </w:p>
        </w:tc>
      </w:tr>
      <w:tr>
        <w:trPr>
          <w:tblHeader w:val="false"/>
        </w:trPr>
        <w:tc>
          <w:tcPr>
            <w:tcW w:type="pct" w:w="50%"/>
          </w:tcPr>
          <w:p>
            <w:r>
              <w:rPr>
                <w:b w:val="false"/>
                <w:bCs w:val="false"/>
                <w:color w:val="1e293b"/>
                <w:sz w:val="20"/>
                <w:szCs w:val="20"/>
              </w:rPr>
              <w:t xml:space="preserve">Échéance &lt; 30 jours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  <w:color w:val="1e293b"/>
                <w:sz w:val="20"/>
                <w:szCs w:val="20"/>
              </w:rPr>
              <w:t xml:space="preserve">0</w:t>
            </w:r>
          </w:p>
        </w:tc>
      </w:tr>
      <w:tr>
        <w:trPr>
          <w:tblHeader w:val="false"/>
        </w:trPr>
        <w:tc>
          <w:tcPr>
            <w:tcW w:type="pct" w:w="50%"/>
          </w:tcPr>
          <w:p>
            <w:r>
              <w:rPr>
                <w:b w:val="false"/>
                <w:bCs w:val="false"/>
                <w:color w:val="1e293b"/>
                <w:sz w:val="20"/>
                <w:szCs w:val="20"/>
              </w:rPr>
              <w:t xml:space="preserve">Budget total engagé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  <w:color w:val="1e293b"/>
                <w:sz w:val="20"/>
                <w:szCs w:val="20"/>
              </w:rPr>
              <w:t xml:space="preserve">0 €</w:t>
            </w:r>
          </w:p>
        </w:tc>
      </w:tr>
    </w:tbl>
    <w:p>
      <w:pPr>
        <w:spacing w:after="120"/>
      </w:pPr>
      <w:r>
        <w:rPr>
          <w:sz w:val="20"/>
          <w:szCs w:val="20"/>
        </w:rPr>
        <w:t xml:space="preserve"/>
      </w:r>
    </w:p>
    <w:p>
      <w:pPr>
        <w:pStyle w:val="Heading2"/>
        <w:spacing w:after="140" w:before="280"/>
      </w:pPr>
      <w:r>
        <w:rPr>
          <w:b/>
          <w:bCs/>
          <w:color w:val="6366f1"/>
          <w:sz w:val="28"/>
          <w:szCs w:val="28"/>
        </w:rPr>
        <w:t xml:space="preserve">Répartition par statut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50%"/>
            <w:shd w:fill="6366f1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Statut</w:t>
            </w:r>
          </w:p>
        </w:tc>
        <w:tc>
          <w:tcPr>
            <w:tcW w:type="pct" w:w="50%"/>
            <w:shd w:fill="6366f1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Nombre</w:t>
            </w:r>
          </w:p>
        </w:tc>
      </w:tr>
      <w:tr>
        <w:trPr>
          <w:tblHeader w:val="false"/>
        </w:trPr>
        <w:tc>
          <w:tcPr>
            <w:tcW w:type="pct" w:w="50%"/>
            <w:shd w:fill="f1f5f9"/>
          </w:tcPr>
          <w:p>
            <w:r>
              <w:rPr>
                <w:b w:val="false"/>
                <w:bCs w:val="false"/>
                <w:color w:val="1e293b"/>
                <w:sz w:val="20"/>
                <w:szCs w:val="20"/>
              </w:rPr>
              <w:t xml:space="preserve">Planifié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  <w:color w:val="1e293b"/>
                <w:sz w:val="20"/>
                <w:szCs w:val="20"/>
              </w:rPr>
              <w:t xml:space="preserve">0</w:t>
            </w:r>
          </w:p>
        </w:tc>
      </w:tr>
      <w:tr>
        <w:trPr>
          <w:tblHeader w:val="false"/>
        </w:trPr>
        <w:tc>
          <w:tcPr>
            <w:tcW w:type="pct" w:w="50%"/>
            <w:shd w:fill="fef3c7"/>
          </w:tcPr>
          <w:p>
            <w:r>
              <w:rPr>
                <w:b w:val="false"/>
                <w:bCs w:val="false"/>
                <w:color w:val="1e293b"/>
                <w:sz w:val="20"/>
                <w:szCs w:val="20"/>
              </w:rPr>
              <w:t xml:space="preserve">En cours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  <w:color w:val="1e293b"/>
                <w:sz w:val="20"/>
                <w:szCs w:val="20"/>
              </w:rPr>
              <w:t xml:space="preserve">0</w:t>
            </w:r>
          </w:p>
        </w:tc>
      </w:tr>
      <w:tr>
        <w:trPr>
          <w:tblHeader w:val="false"/>
        </w:trPr>
        <w:tc>
          <w:tcPr>
            <w:tcW w:type="pct" w:w="50%"/>
            <w:shd w:fill="d1fae5"/>
          </w:tcPr>
          <w:p>
            <w:r>
              <w:rPr>
                <w:b w:val="false"/>
                <w:bCs w:val="false"/>
                <w:color w:val="1e293b"/>
                <w:sz w:val="20"/>
                <w:szCs w:val="20"/>
              </w:rPr>
              <w:t xml:space="preserve">Terminé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  <w:color w:val="1e293b"/>
                <w:sz w:val="20"/>
                <w:szCs w:val="20"/>
              </w:rPr>
              <w:t xml:space="preserve">0</w:t>
            </w:r>
          </w:p>
        </w:tc>
      </w:tr>
      <w:tr>
        <w:trPr>
          <w:tblHeader w:val="false"/>
        </w:trPr>
        <w:tc>
          <w:tcPr>
            <w:tcW w:type="pct" w:w="50%"/>
            <w:shd w:fill="fecaca"/>
          </w:tcPr>
          <w:p>
            <w:r>
              <w:rPr>
                <w:b w:val="false"/>
                <w:bCs w:val="false"/>
                <w:color w:val="1e293b"/>
                <w:sz w:val="20"/>
                <w:szCs w:val="20"/>
              </w:rPr>
              <w:t xml:space="preserve">En retard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  <w:color w:val="1e293b"/>
                <w:sz w:val="20"/>
                <w:szCs w:val="20"/>
              </w:rPr>
              <w:t xml:space="preserve">0</w:t>
            </w:r>
          </w:p>
        </w:tc>
      </w:tr>
    </w:tbl>
    <w:p>
      <w:pPr>
        <w:spacing w:after="120"/>
      </w:pPr>
      <w:r>
        <w:rPr>
          <w:sz w:val="20"/>
          <w:szCs w:val="20"/>
        </w:rPr>
        <w:t xml:space="preserve"/>
      </w:r>
    </w:p>
    <w:p>
      <w:pPr>
        <w:pStyle w:val="Heading2"/>
        <w:spacing w:after="140" w:before="280"/>
      </w:pPr>
      <w:r>
        <w:rPr>
          <w:b/>
          <w:bCs/>
          <w:color w:val="6366f1"/>
          <w:sz w:val="28"/>
          <w:szCs w:val="28"/>
        </w:rPr>
        <w:t xml:space="preserve">Répartition par type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50%"/>
            <w:shd w:fill="6366f1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Type</w:t>
            </w:r>
          </w:p>
        </w:tc>
        <w:tc>
          <w:tcPr>
            <w:tcW w:type="pct" w:w="50%"/>
            <w:shd w:fill="6366f1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Nombre</w:t>
            </w:r>
          </w:p>
        </w:tc>
      </w:tr>
      <w:tr>
        <w:trPr>
          <w:tblHeader w:val="false"/>
        </w:trPr>
        <w:tc>
          <w:tcPr>
            <w:tcW w:type="pct" w:w="50%"/>
          </w:tcPr>
          <w:p>
            <w:r>
              <w:rPr>
                <w:b w:val="false"/>
                <w:bCs w:val="false"/>
                <w:color w:val="1e293b"/>
                <w:sz w:val="20"/>
                <w:szCs w:val="20"/>
              </w:rPr>
              <w:t xml:space="preserve">Mitigation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  <w:color w:val="1e293b"/>
                <w:sz w:val="20"/>
                <w:szCs w:val="20"/>
              </w:rPr>
              <w:t xml:space="preserve">0</w:t>
            </w:r>
          </w:p>
        </w:tc>
      </w:tr>
      <w:tr>
        <w:trPr>
          <w:tblHeader w:val="false"/>
        </w:trPr>
        <w:tc>
          <w:tcPr>
            <w:tcW w:type="pct" w:w="50%"/>
          </w:tcPr>
          <w:p>
            <w:r>
              <w:rPr>
                <w:b w:val="false"/>
                <w:bCs w:val="false"/>
                <w:color w:val="1e293b"/>
                <w:sz w:val="20"/>
                <w:szCs w:val="20"/>
              </w:rPr>
              <w:t xml:space="preserve">Acceptation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  <w:color w:val="1e293b"/>
                <w:sz w:val="20"/>
                <w:szCs w:val="20"/>
              </w:rPr>
              <w:t xml:space="preserve">0</w:t>
            </w:r>
          </w:p>
        </w:tc>
      </w:tr>
      <w:tr>
        <w:trPr>
          <w:tblHeader w:val="false"/>
        </w:trPr>
        <w:tc>
          <w:tcPr>
            <w:tcW w:type="pct" w:w="50%"/>
          </w:tcPr>
          <w:p>
            <w:r>
              <w:rPr>
                <w:b w:val="false"/>
                <w:bCs w:val="false"/>
                <w:color w:val="1e293b"/>
                <w:sz w:val="20"/>
                <w:szCs w:val="20"/>
              </w:rPr>
              <w:t xml:space="preserve">Transfert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  <w:color w:val="1e293b"/>
                <w:sz w:val="20"/>
                <w:szCs w:val="20"/>
              </w:rPr>
              <w:t xml:space="preserve">0</w:t>
            </w:r>
          </w:p>
        </w:tc>
      </w:tr>
      <w:tr>
        <w:trPr>
          <w:tblHeader w:val="false"/>
        </w:trPr>
        <w:tc>
          <w:tcPr>
            <w:tcW w:type="pct" w:w="50%"/>
          </w:tcPr>
          <w:p>
            <w:r>
              <w:rPr>
                <w:b w:val="false"/>
                <w:bCs w:val="false"/>
                <w:color w:val="1e293b"/>
                <w:sz w:val="20"/>
                <w:szCs w:val="20"/>
              </w:rPr>
              <w:t xml:space="preserve">Évitement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  <w:color w:val="1e293b"/>
                <w:sz w:val="20"/>
                <w:szCs w:val="20"/>
              </w:rPr>
              <w:t xml:space="preserve">0</w:t>
            </w:r>
          </w:p>
        </w:tc>
      </w:tr>
    </w:tbl>
    <w:p>
      <w:pPr>
        <w:pStyle w:val="Heading1"/>
        <w:pageBreakBefore/>
        <w:spacing w:after="140" w:before="280"/>
      </w:pPr>
      <w:r>
        <w:rPr>
          <w:b/>
          <w:bCs/>
          <w:color w:val="6366f1"/>
          <w:sz w:val="36"/>
          <w:szCs w:val="36"/>
        </w:rPr>
        <w:t xml:space="preserve">2. Liste détaillée des mesures</w:t>
      </w:r>
    </w:p>
    <w:p>
      <w:pPr>
        <w:spacing w:after="100"/>
      </w:pPr>
      <w:r>
        <w:rPr>
          <w:sz w:val="22"/>
          <w:szCs w:val="22"/>
        </w:rPr>
        <w:t xml:space="preserve">Les mesures sont triées par priorité : en retard d'abord, puis en cours, puis planifiées, puis terminées.</w:t>
      </w:r>
    </w:p>
    <w:p>
      <w:pPr>
        <w:spacing w:after="120"/>
      </w:pPr>
      <w:r>
        <w:rPr>
          <w:sz w:val="20"/>
          <w:szCs w:val="20"/>
        </w:rPr>
        <w:t xml:space="preserve"/>
      </w:r>
    </w:p>
    <w:p>
      <w:pPr>
        <w:spacing w:after="100"/>
      </w:pPr>
      <w:r>
        <w:rPr>
          <w:i/>
          <w:iCs/>
          <w:color w:val="94a3b8"/>
          <w:sz w:val="22"/>
          <w:szCs w:val="22"/>
        </w:rPr>
        <w:t xml:space="preserve">Aucune mesure de traitement à ce stade.</w:t>
      </w:r>
    </w:p>
    <w:p>
      <w:pPr>
        <w:spacing w:after="120"/>
      </w:pPr>
      <w:r>
        <w:rPr>
          <w:sz w:val="20"/>
          <w:szCs w:val="20"/>
        </w:rPr>
        <w:t xml:space="preserve"/>
      </w:r>
    </w:p>
    <w:p>
      <w:pPr>
        <w:spacing w:before="400"/>
        <w:jc w:val="center"/>
      </w:pPr>
      <w:r>
        <w:rPr>
          <w:i/>
          <w:iCs/>
          <w:color w:val="94a3b8"/>
          <w:sz w:val="16"/>
          <w:szCs w:val="16"/>
        </w:rPr>
        <w:t xml:space="preserve">Cabinet Démo · 28 Avenue Mal Leclerc et de sa Division · SIRET 79109030100015</w:t>
      </w:r>
    </w:p>
    <w:p>
      <w:pPr>
        <w:jc w:val="center"/>
      </w:pPr>
      <w:r>
        <w:rPr>
          <w:i/>
          <w:iCs/>
          <w:color w:val="94a3b8"/>
          <w:sz w:val="16"/>
          <w:szCs w:val="16"/>
        </w:rPr>
        <w:t xml:space="preserve">Document confidentiel — édité le 22/10/2026</w:t>
      </w:r>
    </w:p>
    <w:sectPr>
      <w:head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b/>
        <w:bCs/>
        <w:color w:val="6366f1"/>
        <w:sz w:val="20"/>
        <w:szCs w:val="20"/>
      </w:rPr>
      <w:t xml:space="preserve">Cabinet Démo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2026-10-22T02:35:03.369Z</dcterms:created>
  <dcterms:modified xsi:type="dcterms:W3CDTF">2026-10-22T02:35:03.369Z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