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Cabinet Démo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TEST_TPE Duval Artisanat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Artisanat / BTP · 10-19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23 juillet 2026</w:t>
      </w:r>
    </w:p>
    <w:p>
      <w:pPr>
        <w:spacing w:after="60" w:before="800"/>
        <w:jc w:val="center"/>
      </w:pPr>
      <w:r>
        <w:rPr>
          <w:b/>
          <w:bCs/>
        </w:rPr>
        <w:t xml:space="preserve">Consultant Démo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demo@mondsi.app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TEST_TPE Duval Artisanat, à la date du 23/07/2026.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64748b"/>
          <w:sz w:val="22"/>
          <w:szCs w:val="22"/>
        </w:rPr>
        <w:t xml:space="preserve">Catégorie : Hors périmètre</w:t>
      </w:r>
    </w:p>
    <w:p>
      <w:pPr>
        <w:spacing w:after="100"/>
      </w:pPr>
      <w:r>
        <w:rPr>
          <w:sz w:val="22"/>
          <w:szCs w:val="22"/>
        </w:rPr>
        <w:t xml:space="preserve">Effectif &lt; 50 — généralement hors périmètre NIS2 sauf cas particulier (acteur critique secteur santé/finance/admin).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351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TEST_TPE Duval Artisanat :</w:t>
      </w:r>
    </w:p>
    <w:p>
      <w:pPr>
        <w:spacing w:after="100"/>
      </w:pPr>
      <w:r>
        <w:rPr>
          <w:sz w:val="22"/>
          <w:szCs w:val="22"/>
        </w:rPr>
        <w:t xml:space="preserve">Secteur : Artisanat / BTP</w:t>
      </w:r>
    </w:p>
    <w:p>
      <w:pPr>
        <w:spacing w:after="100"/>
      </w:pPr>
      <w:r>
        <w:rPr>
          <w:sz w:val="22"/>
          <w:szCs w:val="22"/>
        </w:rPr>
        <w:t xml:space="preserve">Effectif : 10-19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Effectif &lt; 50 — généralement hors périmètre NIS2 sauf cas particulier (acteur critique secteur santé/finance/admin).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relative à la sécurité des réseaux et des systèmes d’information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1.1.1.k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1.1.1.k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 de gestion des risques [article 21, paragraphe 2, point a),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2.3.4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2.3.4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incidents [article 21, paragraphe 2, point b),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3.2.3.l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3.2.3.l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3.2.7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3.2.7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3.4.2.e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3.4.2.e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3.6.2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3.6.2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Continuité des activités et gestion des crises [article 21, paragraphe 2, point c),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4.2.6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4.2.6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4.3.4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4.3.4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Gestion des actifs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12.5.1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12.5.1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la chaîne d’approvisionnement [article 21, paragraphe 2, point d), de la directive (UE) 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5.1.4.h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5.1.4.h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5.1.6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5.1.6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5.1.7.d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5.1.7.d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Général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/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5.2-1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 l’acquisition, du développement et de la maintenance des réseaux et des systèmes d’information [article 21, paragraphe 2, point e),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6.4.4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6.4.4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6.6.1.d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6.6.2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6.6.2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6.7.2.j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6.7.2.k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6.7.2.k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6.7.2.l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6.7.2.l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6.8.2.g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6.8.2.h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6.8.2.h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6.9.2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6.9.2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6.10.2.e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6.10.2.e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Politiques et procédures visant à évaluer l’efficacité des mesures de gestion des risques en matière de cybersécurité [article 21, paragraphe 2, point f),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7.3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7.3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Pratiques de base en matière de cyberhygiène et formation à la sécurité [article 21, paragraphe 2, point g),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8.2.3.c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8.2.3.c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8.2.5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8.2.5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Cryptographie [article 21, paragraphe 2, point h),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9.2.c.viii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9.2.c.viii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9.2.c.ix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9.2.c.ix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9.2.c.xii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9.2.c.xii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des ressources humaines [article 21, paragraphe 2, point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10.3.2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10.4.2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10.4.2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Contrôle d’accès [article 21, paragraphe 2, points i) et j),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11.2.2.f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11.2.2.f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11.4.2.c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11.4.2.c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11.5.2.d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11.5.2.d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11.6.4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11.6.4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11.6.2.e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11.6.2.f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11.6.2.f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11.7.2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11.7.2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Sécurité environnementale et physique [article 21, paragraphe 2, points c), e) et i), de la directive (UE) 2022/2555]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13.1.2.f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13.1.2.f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13.2.2.c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13.2.2.c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13.3.1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13.3.3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13.3.3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13.3.2.a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13.3.2.b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13.3.2.c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13.3.2.d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13.3.2.d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Cabinet Démo</w:t>
            </w:r>
          </w:p>
          <w:p>
            <w:r>
              <w:rPr>
                <w:sz w:val="20"/>
                <w:szCs w:val="20"/>
              </w:rPr>
              <w:t xml:space="preserve">Consultant Démo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TEST_TPE Duval Artisanat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Cabinet Démo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2026-07-23T08:22:11.648Z</dcterms:created>
  <dcterms:modified xsi:type="dcterms:W3CDTF">2026-07-23T08:22:11.648Z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