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DOSSIER DE CADRAGE</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DOSSIER DE CADRAGE INTERNE</w:t>
      </w:r>
    </w:p>
    <w:p>
      <w:pPr>
        <w:spacing w:after="600"/>
        <w:jc w:val="center"/>
      </w:pPr>
      <w:r>
        <w:rPr>
          <w:i/>
          <w:iCs/>
          <w:color w:val="666666"/>
          <w:sz w:val="28"/>
          <w:szCs w:val="28"/>
        </w:rPr>
        <w:t xml:space="preserve">État de connaissance — préparation mission DSI temps partagé</w:t>
      </w:r>
    </w:p>
    <w:p>
      <w:pPr>
        <w:spacing w:after="80"/>
        <w:jc w:val="center"/>
      </w:pPr>
      <w:r>
        <w:rPr>
          <w:b/>
          <w:bCs/>
          <w:sz w:val="36"/>
          <w:szCs w:val="36"/>
        </w:rPr>
        <w:t xml:space="preserve">TEST_ETI Meridian Group</w:t>
      </w:r>
    </w:p>
    <w:p>
      <w:pPr>
        <w:jc w:val="center"/>
      </w:pPr>
      <w:r>
        <w:rPr>
          <w:i/>
          <w:iCs/>
          <w:color w:val="666666"/>
          <w:sz w:val="22"/>
          <w:szCs w:val="22"/>
        </w:rPr>
        <w:t xml:space="preserve">Services / Conseil &amp; Ingenierie · 200-500</w:t>
      </w:r>
    </w:p>
    <w:p>
      <w:pPr>
        <w:spacing w:after="80" w:before="400"/>
        <w:jc w:val="center"/>
      </w:pPr>
      <w:r>
        <w:rPr>
          <w:color w:val="666666"/>
        </w:rPr>
        <w:t xml:space="preserve">Référence : </w:t>
      </w:r>
      <w:r>
        <w:rPr>
          <w:rFonts w:ascii="Consolas" w:cs="Consolas" w:eastAsia="Consolas" w:hAnsi="Consolas"/>
          <w:b/>
          <w:bCs/>
        </w:rPr>
        <w:t xml:space="preserve">AC-CABI-2026-001</w:t>
      </w:r>
      <w:r>
        <w:rPr>
          <w:color w:val="666666"/>
        </w:rPr>
        <w:t xml:space="preserve">    ·    </w:t>
      </w:r>
      <w:r>
        <w:rPr>
          <w:color w:val="666666"/>
        </w:rPr>
        <w:t xml:space="preserve">Date : </w:t>
      </w:r>
      <w:r>
        <w:t xml:space="preserve">22 octobre 2026</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Style w:val="Heading1"/>
        <w:spacing w:after="160" w:before="320"/>
      </w:pPr>
      <w:r>
        <w:rPr>
          <w:b/>
          <w:bCs/>
          <w:color w:val="6366F1"/>
          <w:sz w:val="36"/>
          <w:szCs w:val="36"/>
        </w:rPr>
        <w:t xml:space="preserve">2. Synthèse exécutive</w:t>
      </w:r>
    </w:p>
    <w:p>
      <w:pPr>
        <w:spacing w:after="120"/>
      </w:pPr>
      <w:r>
        <w:t xml:space="preserve">Meridian Group présente un socle IT et sécurité globalement en place sur l'ensemble des neuf diagnostics réalisés (taux de conformité souvent supérieurs à 70-80%), mais cette apparente maturité masque une concentration systématique des écarts sur les briques les plus sensibles au regard de la stratégie du groupe : croissance externe, internationalisation, conformité réglementaire (NIS2, RGPD strict, ISO 27001 exigée par les clients, DORA partiel) et transformation digitale. Ce n'est pas un problème de volume de non-conformités, mais un problème de nature : les écarts touchent presque tous la résilience (sauvegardes 3-2-1 non respectées, RTO/RPO non validés, absence de tests de restauration documentés), le contrôle d'accès (MFA partiel, comptes partagés, moindre privilège non appliqué, revue prestataires incomplète) et la gouvernance de la donnée (RGPD partiel sur les DPIA, transferts hors UE, IA/AI Act non cadré).</w:t>
      </w:r>
    </w:p>
    <w:p>
      <w:pPr>
        <w:spacing w:after="120"/>
      </w:pPr>
      <w:r>
        <w:t xml:space="preserve">Cette combinaison est particulièrement critique dans le contexte spécifique de Meridian Group : chaque acquisition ou implantation internationale élargit la surface de risque (nouveaux systèmes, nouveaux comptes, nouveaux flux de données transfrontaliers) sans que le groupe dispose aujourd'hui d'un dispositif de pilotage des risques mature (politique non stabilisée, absence de KRI reportés à la direction) ni d'une gouvernance IT suffisamment tracée (comité IT sans formalisation rigoureuse, inventaire contractuel non fiabilisé). Autrement dit, la vitesse de développement du groupe est structurellement plus rapide que sa capacité à absorber et sécuriser les nouveaux périmètres.</w:t>
      </w:r>
    </w:p>
    <w:p>
      <w:pPr>
        <w:spacing w:after="120"/>
      </w:pPr>
      <w:r>
        <w:t xml:space="preserve">La cybersécurité opérationnelle constitue le point de tension le plus aigu : Zero Trust amorcé mais partiel sur les trois piliers Identité/Appareils/Réseau, détection immature (pas de scans de vulnérabilités, pas de filtrage DNS/web, Wi-Fi non segmenté, SIEM/MDR à l'étude), et sensibilisation des collaborateurs très en retard (score 7/100) malgré un programme engagé. Ces failles combinées créent un risque cyber élevé à critique qui, en cas d'incident, se propagerait d'autant plus vite que les capacités de détection et de réaction sont limitées et que la continuité d'activité n'est pas garantie faute de sauvegardes fiables et testées.</w:t>
      </w:r>
    </w:p>
    <w:p>
      <w:pPr>
        <w:spacing w:after="120"/>
      </w:pPr>
      <w:r>
        <w:t xml:space="preserve">Enfin, la dimension conformité (RGPD, IA Act, facturation électronique 2026) et la dimension gouvernance/contractuelle (SLA, dépendance aux personnes clés IT) doivent être traitées avec la même priorité que la technique : elles conditionnent directement la crédibilité du groupe lors des due diligences d'acquisition et l'acceptabilité de son développement à l'international. Le diagnostic global appelle donc un plan de remédiation resserré et séquencé, avant toute nouvelle opération de croissance externe ou d'ouverture géographique.</w:t>
      </w:r>
    </w:p>
    <w:p>
      <w:pPr>
        <w:pStyle w:val="Heading1"/>
        <w:pageBreakBefore/>
        <w:spacing w:after="160" w:before="320"/>
      </w:pPr>
      <w:r>
        <w:rPr>
          <w:b/>
          <w:bCs/>
          <w:color w:val="6366F1"/>
          <w:sz w:val="36"/>
          <w:szCs w:val="36"/>
        </w:rPr>
        <w:t xml:space="preserve">3. Profil client &amp; enjeux</w:t>
      </w:r>
    </w:p>
    <w:tbl>
      <w:tblPr>
        <w:tblW w:type="pct" w:w="100%"/>
        <w:tblBorders>
          <w:top w:val="single" w:color="E2E8F0" w:sz="4"/>
          <w:left w:val="single" w:color="E2E8F0" w:sz="4"/>
          <w:bottom w:val="single" w:color="E2E8F0" w:sz="4"/>
          <w:right w:val="single" w:color="E2E8F0" w:sz="4"/>
          <w:insideH w:val="single" w:color="E2E8F0" w:sz="2"/>
          <w:insideV w:val="single" w:color="E2E8F0" w:sz="2"/>
        </w:tblBorders>
      </w:tblPr>
      <w:tblGrid>
        <w:gridCol w:w="100"/>
        <w:gridCol w:w="100"/>
      </w:tblGrid>
      <w:tr>
        <w:tc>
          <w:tcPr>
            <w:tcW w:type="pct" w:w="32%"/>
            <w:shd w:fill="F8FAFC"/>
          </w:tcPr>
          <w:p>
            <w:r>
              <w:rPr>
                <w:b/>
                <w:bCs/>
                <w:color w:val="6366F1"/>
              </w:rPr>
              <w:t xml:space="preserve">Nom</w:t>
            </w:r>
          </w:p>
        </w:tc>
        <w:tc>
          <w:tcPr>
            <w:tcW w:type="pct" w:w="68%"/>
          </w:tcPr>
          <w:p>
            <w:r>
              <w:t xml:space="preserve">TEST_ETI Meridian Group</w:t>
            </w:r>
          </w:p>
        </w:tc>
      </w:tr>
      <w:tr>
        <w:tc>
          <w:tcPr>
            <w:tcW w:type="pct" w:w="32%"/>
            <w:shd w:fill="F8FAFC"/>
          </w:tcPr>
          <w:p>
            <w:r>
              <w:rPr>
                <w:b/>
                <w:bCs/>
                <w:color w:val="6366F1"/>
              </w:rPr>
              <w:t xml:space="preserve">Secteur</w:t>
            </w:r>
          </w:p>
        </w:tc>
        <w:tc>
          <w:tcPr>
            <w:tcW w:type="pct" w:w="68%"/>
          </w:tcPr>
          <w:p>
            <w:r>
              <w:t xml:space="preserve">Services / Conseil &amp; Ingenierie</w:t>
            </w:r>
          </w:p>
        </w:tc>
      </w:tr>
      <w:tr>
        <w:tc>
          <w:tcPr>
            <w:tcW w:type="pct" w:w="32%"/>
            <w:shd w:fill="F8FAFC"/>
          </w:tcPr>
          <w:p>
            <w:r>
              <w:rPr>
                <w:b/>
                <w:bCs/>
                <w:color w:val="6366F1"/>
              </w:rPr>
              <w:t xml:space="preserve">Effectif</w:t>
            </w:r>
          </w:p>
        </w:tc>
        <w:tc>
          <w:tcPr>
            <w:tcW w:type="pct" w:w="68%"/>
          </w:tcPr>
          <w:p>
            <w:r>
              <w:t xml:space="preserve">200-500</w:t>
            </w:r>
          </w:p>
        </w:tc>
      </w:tr>
      <w:tr>
        <w:tc>
          <w:tcPr>
            <w:tcW w:type="pct" w:w="32%"/>
            <w:shd w:fill="F8FAFC"/>
          </w:tcPr>
          <w:p>
            <w:r>
              <w:rPr>
                <w:b/>
                <w:bCs/>
                <w:color w:val="6366F1"/>
              </w:rPr>
              <w:t xml:space="preserve">Dirigeant principal</w:t>
            </w:r>
          </w:p>
        </w:tc>
        <w:tc>
          <w:tcPr>
            <w:tcW w:type="pct" w:w="68%"/>
          </w:tcPr>
          <w:p>
            <w:r>
              <w:t xml:space="preserve">Contact test (fictif)</w:t>
            </w:r>
          </w:p>
        </w:tc>
      </w:tr>
    </w:tbl>
    <w:p>
      <w:pPr>
        <w:pStyle w:val="Heading3"/>
        <w:spacing w:after="80" w:before="200"/>
      </w:pPr>
      <w:r>
        <w:rPr>
          <w:b/>
          <w:bCs/>
          <w:sz w:val="22"/>
          <w:szCs w:val="22"/>
        </w:rPr>
        <w:t xml:space="preserve">Enjeux business</w:t>
      </w:r>
    </w:p>
    <w:p>
      <w:pPr>
        <w:pStyle w:val="ListParagraph"/>
        <w:numPr>
          <w:ilvl w:val="0"/>
          <w:numId w:val="1"/>
        </w:numPr>
        <w:spacing w:after="60"/>
      </w:pPr>
      <w:r>
        <w:t xml:space="preserve">croissance-externe</w:t>
      </w:r>
    </w:p>
    <w:p>
      <w:pPr>
        <w:pStyle w:val="ListParagraph"/>
        <w:numPr>
          <w:ilvl w:val="0"/>
          <w:numId w:val="1"/>
        </w:numPr>
        <w:spacing w:after="60"/>
      </w:pPr>
      <w:r>
        <w:t xml:space="preserve">conformite-reglementaire</w:t>
      </w:r>
    </w:p>
    <w:p>
      <w:pPr>
        <w:pStyle w:val="ListParagraph"/>
        <w:numPr>
          <w:ilvl w:val="0"/>
          <w:numId w:val="1"/>
        </w:numPr>
        <w:spacing w:after="60"/>
      </w:pPr>
      <w:r>
        <w:t xml:space="preserve">cybersecurite</w:t>
      </w:r>
    </w:p>
    <w:p>
      <w:pPr>
        <w:pStyle w:val="ListParagraph"/>
        <w:numPr>
          <w:ilvl w:val="0"/>
          <w:numId w:val="1"/>
        </w:numPr>
        <w:spacing w:after="60"/>
      </w:pPr>
      <w:r>
        <w:t xml:space="preserve">transformation-digitale</w:t>
      </w:r>
    </w:p>
    <w:p>
      <w:pPr>
        <w:pStyle w:val="ListParagraph"/>
        <w:numPr>
          <w:ilvl w:val="0"/>
          <w:numId w:val="1"/>
        </w:numPr>
        <w:spacing w:after="60"/>
      </w:pPr>
      <w:r>
        <w:t xml:space="preserve">internationalisation</w:t>
      </w:r>
    </w:p>
    <w:p>
      <w:pPr>
        <w:pStyle w:val="Heading3"/>
        <w:spacing w:after="80" w:before="200"/>
      </w:pPr>
      <w:r>
        <w:rPr>
          <w:b/>
          <w:bCs/>
          <w:sz w:val="22"/>
          <w:szCs w:val="22"/>
        </w:rPr>
        <w:t xml:space="preserve">Sujets IT identifiés</w:t>
      </w:r>
    </w:p>
    <w:p>
      <w:pPr>
        <w:pStyle w:val="ListParagraph"/>
        <w:numPr>
          <w:ilvl w:val="0"/>
          <w:numId w:val="1"/>
        </w:numPr>
        <w:spacing w:after="60"/>
      </w:pPr>
      <w:r>
        <w:t xml:space="preserve">m365</w:t>
      </w:r>
    </w:p>
    <w:p>
      <w:pPr>
        <w:pStyle w:val="ListParagraph"/>
        <w:numPr>
          <w:ilvl w:val="0"/>
          <w:numId w:val="1"/>
        </w:numPr>
        <w:spacing w:after="60"/>
      </w:pPr>
      <w:r>
        <w:t xml:space="preserve">securite</w:t>
      </w:r>
    </w:p>
    <w:p>
      <w:pPr>
        <w:pStyle w:val="ListParagraph"/>
        <w:numPr>
          <w:ilvl w:val="0"/>
          <w:numId w:val="1"/>
        </w:numPr>
        <w:spacing w:after="60"/>
      </w:pPr>
      <w:r>
        <w:t xml:space="preserve">rgpd</w:t>
      </w:r>
    </w:p>
    <w:p>
      <w:pPr>
        <w:pStyle w:val="ListParagraph"/>
        <w:numPr>
          <w:ilvl w:val="0"/>
          <w:numId w:val="1"/>
        </w:numPr>
        <w:spacing w:after="60"/>
      </w:pPr>
      <w:r>
        <w:t xml:space="preserve">iso27001</w:t>
      </w:r>
    </w:p>
    <w:p>
      <w:pPr>
        <w:pStyle w:val="ListParagraph"/>
        <w:numPr>
          <w:ilvl w:val="0"/>
          <w:numId w:val="1"/>
        </w:numPr>
        <w:spacing w:after="60"/>
      </w:pPr>
      <w:r>
        <w:t xml:space="preserve">erp</w:t>
      </w:r>
    </w:p>
    <w:p>
      <w:pPr>
        <w:pStyle w:val="ListParagraph"/>
        <w:numPr>
          <w:ilvl w:val="0"/>
          <w:numId w:val="1"/>
        </w:numPr>
        <w:spacing w:after="60"/>
      </w:pPr>
      <w:r>
        <w:t xml:space="preserve">iam</w:t>
      </w:r>
    </w:p>
    <w:p>
      <w:pPr>
        <w:pStyle w:val="ListParagraph"/>
        <w:numPr>
          <w:ilvl w:val="0"/>
          <w:numId w:val="1"/>
        </w:numPr>
        <w:spacing w:after="60"/>
      </w:pPr>
      <w:r>
        <w:t xml:space="preserve">soc</w:t>
      </w:r>
    </w:p>
    <w:p>
      <w:pPr>
        <w:pStyle w:val="ListParagraph"/>
        <w:numPr>
          <w:ilvl w:val="0"/>
          <w:numId w:val="1"/>
        </w:numPr>
        <w:spacing w:after="60"/>
      </w:pPr>
      <w:r>
        <w:t xml:space="preserve">cloud-azure</w:t>
      </w:r>
    </w:p>
    <w:p>
      <w:pPr>
        <w:pStyle w:val="Heading3"/>
        <w:spacing w:after="80" w:before="200"/>
      </w:pPr>
      <w:r>
        <w:rPr>
          <w:b/>
          <w:bCs/>
          <w:sz w:val="22"/>
          <w:szCs w:val="22"/>
        </w:rPr>
        <w:t xml:space="preserve">Cadre réglementaire applicable</w:t>
      </w:r>
    </w:p>
    <w:p>
      <w:pPr>
        <w:pStyle w:val="ListParagraph"/>
        <w:numPr>
          <w:ilvl w:val="0"/>
          <w:numId w:val="1"/>
        </w:numPr>
        <w:spacing w:after="60"/>
      </w:pPr>
      <w:r>
        <w:t xml:space="preserve">nis2-importante</w:t>
      </w:r>
    </w:p>
    <w:p>
      <w:pPr>
        <w:pStyle w:val="ListParagraph"/>
        <w:numPr>
          <w:ilvl w:val="0"/>
          <w:numId w:val="1"/>
        </w:numPr>
        <w:spacing w:after="60"/>
      </w:pPr>
      <w:r>
        <w:t xml:space="preserve">rgpd-strict</w:t>
      </w:r>
    </w:p>
    <w:p>
      <w:pPr>
        <w:pStyle w:val="ListParagraph"/>
        <w:numPr>
          <w:ilvl w:val="0"/>
          <w:numId w:val="1"/>
        </w:numPr>
        <w:spacing w:after="60"/>
      </w:pPr>
      <w:r>
        <w:t xml:space="preserve">iso27001-exige-clients</w:t>
      </w:r>
    </w:p>
    <w:p>
      <w:pPr>
        <w:pStyle w:val="ListParagraph"/>
        <w:numPr>
          <w:ilvl w:val="0"/>
          <w:numId w:val="1"/>
        </w:numPr>
        <w:spacing w:after="60"/>
      </w:pPr>
      <w:r>
        <w:t xml:space="preserve">dora-partiel</w:t>
      </w:r>
    </w:p>
    <w:p>
      <w:pPr>
        <w:pStyle w:val="Heading1"/>
        <w:pageBreakBefore/>
        <w:spacing w:after="160" w:before="320"/>
      </w:pPr>
      <w:r>
        <w:rPr>
          <w:b/>
          <w:bCs/>
          <w:color w:val="6366F1"/>
          <w:sz w:val="36"/>
          <w:szCs w:val="36"/>
        </w:rPr>
        <w:t xml:space="preserve">4. Couverture des diagnostics &amp; KPI</w:t>
      </w:r>
    </w:p>
    <w:p>
      <w:pPr>
        <w:spacing w:after="120"/>
      </w:pPr>
      <w:r>
        <w:rPr>
          <w:i/>
          <w:iCs/>
          <w:color w:val="475569"/>
        </w:rPr>
        <w:t xml:space="preserve">Vue synthétique de la couverture des diagnostics. Un diagnostic est considéré comme « couvert » à partir de 5 réponses saisies.</w:t>
      </w:r>
    </w:p>
    <w:tbl>
      <w:tblPr>
        <w:tblW w:type="pct" w:w="100%"/>
        <w:tblBorders>
          <w:top w:val="single" w:color="CCCCCC" w:sz="4"/>
          <w:left w:val="single" w:color="CCCCCC" w:sz="4"/>
          <w:bottom w:val="single" w:color="CCCCCC" w:sz="4"/>
          <w:right w:val="single" w:color="CCCCCC" w:sz="4"/>
          <w:insideH w:val="single" w:color="E5E7EB" w:sz="2"/>
          <w:insideV w:val="single" w:color="E5E7EB" w:sz="2"/>
        </w:tblBorders>
      </w:tblPr>
      <w:tblGrid>
        <w:gridCol w:w="100"/>
        <w:gridCol w:w="100"/>
        <w:gridCol w:w="100"/>
        <w:gridCol w:w="100"/>
        <w:gridCol w:w="100"/>
        <w:gridCol w:w="100"/>
        <w:gridCol w:w="100"/>
      </w:tblGrid>
      <w:tr>
        <w:trPr>
          <w:tblHeader/>
        </w:trPr>
        <w:tc>
          <w:tcPr>
            <w:shd w:fill="EEF2FF"/>
          </w:tcPr>
          <w:p>
            <w:r>
              <w:rPr>
                <w:b/>
                <w:bCs/>
                <w:color w:val="6366F1"/>
              </w:rPr>
              <w:t xml:space="preserve">Diagnostic</w:t>
            </w:r>
          </w:p>
        </w:tc>
        <w:tc>
          <w:tcPr>
            <w:shd w:fill="EEF2FF"/>
          </w:tcPr>
          <w:p>
            <w:r>
              <w:rPr>
                <w:b/>
                <w:bCs/>
                <w:color w:val="6366F1"/>
              </w:rPr>
              <w:t xml:space="preserve">Statut</w:t>
            </w:r>
          </w:p>
        </w:tc>
        <w:tc>
          <w:tcPr>
            <w:shd w:fill="EEF2FF"/>
          </w:tcPr>
          <w:p>
            <w:r>
              <w:rPr>
                <w:b/>
                <w:bCs/>
                <w:color w:val="6366F1"/>
              </w:rPr>
              <w:t xml:space="preserve">Réponses</w:t>
            </w:r>
          </w:p>
        </w:tc>
        <w:tc>
          <w:tcPr>
            <w:shd w:fill="EEF2FF"/>
          </w:tcPr>
          <w:p>
            <w:r>
              <w:rPr>
                <w:b/>
                <w:bCs/>
                <w:color w:val="6366F1"/>
              </w:rPr>
              <w:t xml:space="preserve">Score moyen</w:t>
            </w:r>
          </w:p>
        </w:tc>
        <w:tc>
          <w:tcPr>
            <w:shd w:fill="EEF2FF"/>
          </w:tcPr>
          <w:p>
            <w:r>
              <w:rPr>
                <w:b/>
                <w:bCs/>
                <w:color w:val="6366F1"/>
              </w:rPr>
              <w:t xml:space="preserve">Partiel / Non</w:t>
            </w:r>
          </w:p>
        </w:tc>
        <w:tc>
          <w:tcPr>
            <w:shd w:fill="EEF2FF"/>
          </w:tcPr>
          <w:p>
            <w:r>
              <w:rPr>
                <w:b/>
                <w:bCs/>
                <w:color w:val="6366F1"/>
              </w:rPr>
              <w:t xml:space="preserve">NSP</w:t>
            </w:r>
          </w:p>
        </w:tc>
        <w:tc>
          <w:tcPr>
            <w:shd w:fill="EEF2FF"/>
          </w:tcPr>
          <w:p>
            <w:r>
              <w:rPr>
                <w:b/>
                <w:bCs/>
                <w:color w:val="6366F1"/>
              </w:rPr>
              <w:t xml:space="preserve">Commentaires</w:t>
            </w:r>
          </w:p>
        </w:tc>
      </w:tr>
      <w:tr>
        <w:tc>
          <w:p>
            <w:r>
              <w:rPr>
                <w:b/>
                <w:bCs/>
              </w:rPr>
              <w:t xml:space="preserve">Diag IT N1</w:t>
            </w:r>
          </w:p>
        </w:tc>
        <w:tc>
          <w:p>
            <w:r>
              <w:rPr>
                <w:b/>
                <w:bCs/>
                <w:color w:val="6366F1"/>
              </w:rPr>
              <w:t xml:space="preserve">Couvert</w:t>
            </w:r>
          </w:p>
        </w:tc>
        <w:tc>
          <w:p>
            <w:r>
              <w:t xml:space="preserve">26</w:t>
            </w:r>
          </w:p>
        </w:tc>
        <w:tc>
          <w:p>
            <w:r>
              <w:t xml:space="preserve">90/100</w:t>
            </w:r>
          </w:p>
        </w:tc>
        <w:tc>
          <w:p>
            <w:r>
              <w:t xml:space="preserve">5 / 0</w:t>
            </w:r>
          </w:p>
        </w:tc>
        <w:tc>
          <w:p>
            <w:r>
              <w:rPr>
                <w:b w:val="false"/>
                <w:bCs w:val="false"/>
              </w:rPr>
              <w:t xml:space="preserve">0</w:t>
            </w:r>
          </w:p>
        </w:tc>
        <w:tc>
          <w:p>
            <w:r>
              <w:t xml:space="preserve">0</w:t>
            </w:r>
          </w:p>
        </w:tc>
      </w:tr>
      <w:tr>
        <w:tc>
          <w:p>
            <w:r>
              <w:rPr>
                <w:b/>
                <w:bCs/>
              </w:rPr>
              <w:t xml:space="preserve">Diag IT N2</w:t>
            </w:r>
          </w:p>
        </w:tc>
        <w:tc>
          <w:p>
            <w:r>
              <w:rPr>
                <w:b/>
                <w:bCs/>
                <w:color w:val="6366F1"/>
              </w:rPr>
              <w:t xml:space="preserve">Couvert</w:t>
            </w:r>
          </w:p>
        </w:tc>
        <w:tc>
          <w:p>
            <w:r>
              <w:t xml:space="preserve">75</w:t>
            </w:r>
          </w:p>
        </w:tc>
        <w:tc>
          <w:p>
            <w:r>
              <w:t xml:space="preserve">72/100</w:t>
            </w:r>
          </w:p>
        </w:tc>
        <w:tc>
          <w:p>
            <w:r>
              <w:t xml:space="preserve">22 / 10</w:t>
            </w:r>
          </w:p>
        </w:tc>
        <w:tc>
          <w:p>
            <w:r>
              <w:rPr>
                <w:b w:val="false"/>
                <w:bCs w:val="false"/>
              </w:rPr>
              <w:t xml:space="preserve">0</w:t>
            </w:r>
          </w:p>
        </w:tc>
        <w:tc>
          <w:p>
            <w:r>
              <w:t xml:space="preserve">0</w:t>
            </w:r>
          </w:p>
        </w:tc>
      </w:tr>
      <w:tr>
        <w:tc>
          <w:p>
            <w:r>
              <w:rPr>
                <w:b/>
                <w:bCs/>
              </w:rPr>
              <w:t xml:space="preserve">Modern Workplace</w:t>
            </w:r>
          </w:p>
        </w:tc>
        <w:tc>
          <w:p>
            <w:r>
              <w:rPr>
                <w:b/>
                <w:bCs/>
                <w:color w:val="6366F1"/>
              </w:rPr>
              <w:t xml:space="preserve">Couvert</w:t>
            </w:r>
          </w:p>
        </w:tc>
        <w:tc>
          <w:p>
            <w:r>
              <w:t xml:space="preserve">28</w:t>
            </w:r>
          </w:p>
        </w:tc>
        <w:tc>
          <w:p>
            <w:r>
              <w:t xml:space="preserve">88/100</w:t>
            </w:r>
          </w:p>
        </w:tc>
        <w:tc>
          <w:p>
            <w:r>
              <w:t xml:space="preserve">7 / 0</w:t>
            </w:r>
          </w:p>
        </w:tc>
        <w:tc>
          <w:p>
            <w:r>
              <w:rPr>
                <w:b w:val="false"/>
                <w:bCs w:val="false"/>
              </w:rPr>
              <w:t xml:space="preserve">0</w:t>
            </w:r>
          </w:p>
        </w:tc>
        <w:tc>
          <w:p>
            <w:r>
              <w:t xml:space="preserve">0</w:t>
            </w:r>
          </w:p>
        </w:tc>
      </w:tr>
      <w:tr>
        <w:tc>
          <w:p>
            <w:r>
              <w:rPr>
                <w:b/>
                <w:bCs/>
              </w:rPr>
              <w:t xml:space="preserve">Zero Trust</w:t>
            </w:r>
          </w:p>
        </w:tc>
        <w:tc>
          <w:p>
            <w:r>
              <w:rPr>
                <w:b/>
                <w:bCs/>
                <w:color w:val="6366F1"/>
              </w:rPr>
              <w:t xml:space="preserve">Couvert</w:t>
            </w:r>
          </w:p>
        </w:tc>
        <w:tc>
          <w:p>
            <w:r>
              <w:t xml:space="preserve">20</w:t>
            </w:r>
          </w:p>
        </w:tc>
        <w:tc>
          <w:p>
            <w:r>
              <w:t xml:space="preserve">80/100</w:t>
            </w:r>
          </w:p>
        </w:tc>
        <w:tc>
          <w:p>
            <w:r>
              <w:t xml:space="preserve">8 / 0</w:t>
            </w:r>
          </w:p>
        </w:tc>
        <w:tc>
          <w:p>
            <w:r>
              <w:rPr>
                <w:b w:val="false"/>
                <w:bCs w:val="false"/>
              </w:rPr>
              <w:t xml:space="preserve">0</w:t>
            </w:r>
          </w:p>
        </w:tc>
        <w:tc>
          <w:p>
            <w:r>
              <w:t xml:space="preserve">0</w:t>
            </w:r>
          </w:p>
        </w:tc>
      </w:tr>
      <w:tr>
        <w:tc>
          <w:p>
            <w:r>
              <w:rPr>
                <w:b/>
                <w:bCs/>
              </w:rPr>
              <w:t xml:space="preserve">IA &amp; Automatisations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Entretien dirigeant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France Num</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PCA/PRA</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Adoption ADKAR</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Zachman SI</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RGPD</w:t>
            </w:r>
          </w:p>
        </w:tc>
        <w:tc>
          <w:p>
            <w:r>
              <w:rPr>
                <w:b/>
                <w:bCs/>
                <w:color w:val="6366F1"/>
              </w:rPr>
              <w:t xml:space="preserve">Couvert</w:t>
            </w:r>
          </w:p>
        </w:tc>
        <w:tc>
          <w:p>
            <w:r>
              <w:t xml:space="preserve">16</w:t>
            </w:r>
          </w:p>
        </w:tc>
        <w:tc>
          <w:p>
            <w:r>
              <w:t xml:space="preserve">88/100</w:t>
            </w:r>
          </w:p>
        </w:tc>
        <w:tc>
          <w:p>
            <w:r>
              <w:t xml:space="preserve">4 / 0</w:t>
            </w:r>
          </w:p>
        </w:tc>
        <w:tc>
          <w:p>
            <w:r>
              <w:rPr>
                <w:b w:val="false"/>
                <w:bCs w:val="false"/>
              </w:rPr>
              <w:t xml:space="preserve">0</w:t>
            </w:r>
          </w:p>
        </w:tc>
        <w:tc>
          <w:p>
            <w:r>
              <w:t xml:space="preserve">0</w:t>
            </w:r>
          </w:p>
        </w:tc>
      </w:tr>
      <w:tr>
        <w:tc>
          <w:p>
            <w:r>
              <w:rPr>
                <w:b/>
                <w:bCs/>
              </w:rPr>
              <w:t xml:space="preserve">Gestion risques</w:t>
            </w:r>
          </w:p>
        </w:tc>
        <w:tc>
          <w:p>
            <w:r>
              <w:rPr>
                <w:b/>
                <w:bCs/>
                <w:color w:val="6366F1"/>
              </w:rPr>
              <w:t xml:space="preserve">Couvert</w:t>
            </w:r>
          </w:p>
        </w:tc>
        <w:tc>
          <w:p>
            <w:r>
              <w:t xml:space="preserve">12</w:t>
            </w:r>
          </w:p>
        </w:tc>
        <w:tc>
          <w:p>
            <w:r>
              <w:t xml:space="preserve">83/100</w:t>
            </w:r>
          </w:p>
        </w:tc>
        <w:tc>
          <w:p>
            <w:r>
              <w:t xml:space="preserve">4 / 0</w:t>
            </w:r>
          </w:p>
        </w:tc>
        <w:tc>
          <w:p>
            <w:r>
              <w:rPr>
                <w:b w:val="false"/>
                <w:bCs w:val="false"/>
              </w:rPr>
              <w:t xml:space="preserve">0</w:t>
            </w:r>
          </w:p>
        </w:tc>
        <w:tc>
          <w:p>
            <w:r>
              <w:t xml:space="preserve">0</w:t>
            </w:r>
          </w:p>
        </w:tc>
      </w:tr>
      <w:tr>
        <w:tc>
          <w:p>
            <w:r>
              <w:rPr>
                <w:b/>
                <w:bCs/>
              </w:rPr>
              <w:t xml:space="preserve">Gouvernance IT</w:t>
            </w:r>
          </w:p>
        </w:tc>
        <w:tc>
          <w:p>
            <w:r>
              <w:rPr>
                <w:b/>
                <w:bCs/>
                <w:color w:val="6366F1"/>
              </w:rPr>
              <w:t xml:space="preserve">Couvert</w:t>
            </w:r>
          </w:p>
        </w:tc>
        <w:tc>
          <w:p>
            <w:r>
              <w:t xml:space="preserve">14</w:t>
            </w:r>
          </w:p>
        </w:tc>
        <w:tc>
          <w:p>
            <w:r>
              <w:t xml:space="preserve">79/100</w:t>
            </w:r>
          </w:p>
        </w:tc>
        <w:tc>
          <w:p>
            <w:r>
              <w:t xml:space="preserve">6 / 0</w:t>
            </w:r>
          </w:p>
        </w:tc>
        <w:tc>
          <w:p>
            <w:r>
              <w:rPr>
                <w:b w:val="false"/>
                <w:bCs w:val="false"/>
              </w:rPr>
              <w:t xml:space="preserve">0</w:t>
            </w:r>
          </w:p>
        </w:tc>
        <w:tc>
          <w:p>
            <w:r>
              <w:t xml:space="preserve">0</w:t>
            </w:r>
          </w:p>
        </w:tc>
      </w:tr>
      <w:tr>
        <w:tc>
          <w:p>
            <w:r>
              <w:rPr>
                <w:b/>
                <w:bCs/>
              </w:rPr>
              <w:t xml:space="preserve">Parc IT</w:t>
            </w:r>
          </w:p>
        </w:tc>
        <w:tc>
          <w:p>
            <w:r>
              <w:rPr>
                <w:b/>
                <w:bCs/>
                <w:color w:val="6366F1"/>
              </w:rPr>
              <w:t xml:space="preserve">Couvert</w:t>
            </w:r>
          </w:p>
        </w:tc>
        <w:tc>
          <w:p>
            <w:r>
              <w:t xml:space="preserve">12</w:t>
            </w:r>
          </w:p>
        </w:tc>
        <w:tc>
          <w:p>
            <w:r>
              <w:t xml:space="preserve">88/100</w:t>
            </w:r>
          </w:p>
        </w:tc>
        <w:tc>
          <w:p>
            <w:r>
              <w:t xml:space="preserve">3 / 0</w:t>
            </w:r>
          </w:p>
        </w:tc>
        <w:tc>
          <w:p>
            <w:r>
              <w:rPr>
                <w:b w:val="false"/>
                <w:bCs w:val="false"/>
              </w:rPr>
              <w:t xml:space="preserve">0</w:t>
            </w:r>
          </w:p>
        </w:tc>
        <w:tc>
          <w:p>
            <w:r>
              <w:t xml:space="preserve">0</w:t>
            </w:r>
          </w:p>
        </w:tc>
      </w:tr>
      <w:tr>
        <w:tc>
          <w:p>
            <w:r>
              <w:rPr>
                <w:b/>
                <w:bCs/>
              </w:rPr>
              <w:t xml:space="preserve">Exploitation et support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Applications et données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Réseau et infrastructure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Architecture et dette technique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Conduite de projet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Reprise de projet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Reprise de projet, 6 phrases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Sensibilisation</w:t>
            </w:r>
          </w:p>
        </w:tc>
        <w:tc>
          <w:p>
            <w:r>
              <w:rPr>
                <w:b/>
                <w:bCs/>
                <w:color w:val="6366F1"/>
              </w:rPr>
              <w:t xml:space="preserve">Couvert</w:t>
            </w:r>
          </w:p>
        </w:tc>
        <w:tc>
          <w:p>
            <w:r>
              <w:t xml:space="preserve">10</w:t>
            </w:r>
          </w:p>
        </w:tc>
        <w:tc>
          <w:p>
            <w:r>
              <w:t xml:space="preserve">85/100</w:t>
            </w:r>
          </w:p>
        </w:tc>
        <w:tc>
          <w:p>
            <w:r>
              <w:t xml:space="preserve">3 / 0</w:t>
            </w:r>
          </w:p>
        </w:tc>
        <w:tc>
          <w:p>
            <w:r>
              <w:rPr>
                <w:b w:val="false"/>
                <w:bCs w:val="false"/>
              </w:rPr>
              <w:t xml:space="preserve">0</w:t>
            </w:r>
          </w:p>
        </w:tc>
        <w:tc>
          <w:p>
            <w:r>
              <w:t xml:space="preserve">0</w:t>
            </w:r>
          </w:p>
        </w:tc>
      </w:tr>
      <w:tr>
        <w:tc>
          <w:p>
            <w:r>
              <w:rPr>
                <w:b/>
                <w:bCs/>
              </w:rPr>
              <w:t xml:space="preserve">Google Workspace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FinOps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bl>
    <w:p>
      <w:pPr>
        <w:pStyle w:val="Heading3"/>
        <w:spacing w:after="80" w:before="200"/>
      </w:pPr>
      <w:r>
        <w:rPr>
          <w:b/>
          <w:bCs/>
          <w:sz w:val="22"/>
          <w:szCs w:val="22"/>
        </w:rPr>
        <w:t xml:space="preserve">Diag IT N1 — détail par catégorie</w:t>
      </w:r>
    </w:p>
    <w:p>
      <w:pPr>
        <w:pStyle w:val="ListParagraph"/>
        <w:numPr>
          <w:ilvl w:val="0"/>
          <w:numId w:val="1"/>
        </w:numPr>
        <w:spacing w:after="60"/>
      </w:pPr>
      <w:r>
        <w:t xml:space="preserve">Identité &amp; accès : 83/100 (3/3 réponses · 1P / 0N)</w:t>
      </w:r>
    </w:p>
    <w:p>
      <w:pPr>
        <w:pStyle w:val="ListParagraph"/>
        <w:numPr>
          <w:ilvl w:val="0"/>
          <w:numId w:val="1"/>
        </w:numPr>
        <w:spacing w:after="60"/>
      </w:pPr>
      <w:r>
        <w:t xml:space="preserve">Gouvernance SI : 75/100 (2/2 réponses · 1P / 0N)</w:t>
      </w:r>
    </w:p>
    <w:p>
      <w:pPr>
        <w:pStyle w:val="ListParagraph"/>
        <w:numPr>
          <w:ilvl w:val="0"/>
          <w:numId w:val="1"/>
        </w:numPr>
        <w:spacing w:after="60"/>
      </w:pPr>
      <w:r>
        <w:t xml:space="preserve">Cybersécurité : 100/100 (4/4 réponses · 0P / 0N)</w:t>
      </w:r>
    </w:p>
    <w:p>
      <w:pPr>
        <w:pStyle w:val="ListParagraph"/>
        <w:numPr>
          <w:ilvl w:val="0"/>
          <w:numId w:val="1"/>
        </w:numPr>
        <w:spacing w:after="60"/>
      </w:pPr>
      <w:r>
        <w:t xml:space="preserve">Continuité &amp; incidents : 90/100 (5/5 réponses · 1P / 0N)</w:t>
      </w:r>
    </w:p>
    <w:p>
      <w:pPr>
        <w:pStyle w:val="ListParagraph"/>
        <w:numPr>
          <w:ilvl w:val="0"/>
          <w:numId w:val="1"/>
        </w:numPr>
        <w:spacing w:after="60"/>
      </w:pPr>
      <w:r>
        <w:t xml:space="preserve">Données personnelles &amp; RGPD : 83/100 (3/3 réponses · 1P / 0N)</w:t>
      </w:r>
    </w:p>
    <w:p>
      <w:pPr>
        <w:pStyle w:val="ListParagraph"/>
        <w:numPr>
          <w:ilvl w:val="0"/>
          <w:numId w:val="1"/>
        </w:numPr>
        <w:spacing w:after="60"/>
      </w:pPr>
      <w:r>
        <w:t xml:space="preserve">Prestataires &amp; cloud : 100/100 (3/4 réponses · 0P / 0N)</w:t>
      </w:r>
    </w:p>
    <w:p>
      <w:pPr>
        <w:pStyle w:val="ListParagraph"/>
        <w:numPr>
          <w:ilvl w:val="0"/>
          <w:numId w:val="1"/>
        </w:numPr>
        <w:spacing w:after="60"/>
      </w:pPr>
      <w:r>
        <w:t xml:space="preserve">Sensibilisation : 100/100 (1/1 réponses · 0P / 0N)</w:t>
      </w:r>
    </w:p>
    <w:p>
      <w:pPr>
        <w:pStyle w:val="ListParagraph"/>
        <w:numPr>
          <w:ilvl w:val="0"/>
          <w:numId w:val="1"/>
        </w:numPr>
        <w:spacing w:after="60"/>
      </w:pPr>
      <w:r>
        <w:t xml:space="preserve">Conformité 2026+ : 90/100 (5/5 réponses · 1P / 0N)</w:t>
      </w:r>
    </w:p>
    <w:p>
      <w:pPr>
        <w:pStyle w:val="Heading3"/>
        <w:spacing w:after="80" w:before="200"/>
      </w:pPr>
      <w:r>
        <w:rPr>
          <w:b/>
          <w:bCs/>
          <w:sz w:val="22"/>
          <w:szCs w:val="22"/>
        </w:rPr>
        <w:t xml:space="preserve">Diag IT N2 — détail par catégorie</w:t>
      </w:r>
    </w:p>
    <w:p>
      <w:pPr>
        <w:pStyle w:val="ListParagraph"/>
        <w:numPr>
          <w:ilvl w:val="0"/>
          <w:numId w:val="1"/>
        </w:numPr>
        <w:spacing w:after="60"/>
      </w:pPr>
      <w:r>
        <w:t xml:space="preserve">Identité &amp; accès : 71/100 (7/7 réponses · 2P / 1N)</w:t>
      </w:r>
    </w:p>
    <w:p>
      <w:pPr>
        <w:pStyle w:val="ListParagraph"/>
        <w:numPr>
          <w:ilvl w:val="0"/>
          <w:numId w:val="1"/>
        </w:numPr>
        <w:spacing w:after="60"/>
      </w:pPr>
      <w:r>
        <w:t xml:space="preserve">Gouvernance &amp; organisation : 71/100 (7/7 réponses · 2P / 1N)</w:t>
      </w:r>
    </w:p>
    <w:p>
      <w:pPr>
        <w:pStyle w:val="ListParagraph"/>
        <w:numPr>
          <w:ilvl w:val="0"/>
          <w:numId w:val="1"/>
        </w:numPr>
        <w:spacing w:after="60"/>
      </w:pPr>
      <w:r>
        <w:t xml:space="preserve">Sécurité réseau : 75/100 (6/6 réponses · 1P / 1N)</w:t>
      </w:r>
    </w:p>
    <w:p>
      <w:pPr>
        <w:pStyle w:val="ListParagraph"/>
        <w:numPr>
          <w:ilvl w:val="0"/>
          <w:numId w:val="1"/>
        </w:numPr>
        <w:spacing w:after="60"/>
      </w:pPr>
      <w:r>
        <w:t xml:space="preserve">Postes &amp; mobilité : 67/100 (6/6 réponses · 2P / 1N)</w:t>
      </w:r>
    </w:p>
    <w:p>
      <w:pPr>
        <w:pStyle w:val="ListParagraph"/>
        <w:numPr>
          <w:ilvl w:val="0"/>
          <w:numId w:val="1"/>
        </w:numPr>
        <w:spacing w:after="60"/>
      </w:pPr>
      <w:r>
        <w:t xml:space="preserve">Supervision &amp; détection : 60/100 (5/5 réponses · 2P / 1N)</w:t>
      </w:r>
    </w:p>
    <w:p>
      <w:pPr>
        <w:pStyle w:val="ListParagraph"/>
        <w:numPr>
          <w:ilvl w:val="0"/>
          <w:numId w:val="1"/>
        </w:numPr>
        <w:spacing w:after="60"/>
      </w:pPr>
      <w:r>
        <w:t xml:space="preserve">Sauvegardes &amp; continuité : 67/100 (6/6 réponses · 2P / 1N)</w:t>
      </w:r>
    </w:p>
    <w:p>
      <w:pPr>
        <w:pStyle w:val="ListParagraph"/>
        <w:numPr>
          <w:ilvl w:val="0"/>
          <w:numId w:val="1"/>
        </w:numPr>
        <w:spacing w:after="60"/>
      </w:pPr>
      <w:r>
        <w:t xml:space="preserve">Infrastructure &amp; architecture : 71/100 (7/7 réponses · 2P / 1N)</w:t>
      </w:r>
    </w:p>
    <w:p>
      <w:pPr>
        <w:pStyle w:val="ListParagraph"/>
        <w:numPr>
          <w:ilvl w:val="0"/>
          <w:numId w:val="1"/>
        </w:numPr>
        <w:spacing w:after="60"/>
      </w:pPr>
      <w:r>
        <w:t xml:space="preserve">Messagerie &amp; collaboration : 90/100 (5/5 réponses · 1P / 0N)</w:t>
      </w:r>
    </w:p>
    <w:p>
      <w:pPr>
        <w:pStyle w:val="ListParagraph"/>
        <w:numPr>
          <w:ilvl w:val="0"/>
          <w:numId w:val="1"/>
        </w:numPr>
        <w:spacing w:after="60"/>
      </w:pPr>
      <w:r>
        <w:t xml:space="preserve">Cloud &amp; SaaS : 67/100 (6/6 réponses · 2P / 1N)</w:t>
      </w:r>
    </w:p>
    <w:p>
      <w:pPr>
        <w:pStyle w:val="ListParagraph"/>
        <w:numPr>
          <w:ilvl w:val="0"/>
          <w:numId w:val="1"/>
        </w:numPr>
        <w:spacing w:after="60"/>
      </w:pPr>
      <w:r>
        <w:t xml:space="preserve">Données &amp; RGPD : 71/100 (7/7 réponses · 2P / 1N)</w:t>
      </w:r>
    </w:p>
    <w:p>
      <w:pPr>
        <w:pStyle w:val="ListParagraph"/>
        <w:numPr>
          <w:ilvl w:val="0"/>
          <w:numId w:val="1"/>
        </w:numPr>
        <w:spacing w:after="60"/>
      </w:pPr>
      <w:r>
        <w:t xml:space="preserve">Prestataires &amp; contrats : 83/100 (6/6 réponses · 2P / 0N)</w:t>
      </w:r>
    </w:p>
    <w:p>
      <w:pPr>
        <w:pStyle w:val="ListParagraph"/>
        <w:numPr>
          <w:ilvl w:val="0"/>
          <w:numId w:val="1"/>
        </w:numPr>
        <w:spacing w:after="60"/>
      </w:pPr>
      <w:r>
        <w:t xml:space="preserve">Sensibilisation &amp; culture : 75/100 (6/6 réponses · 1P / 1N)</w:t>
      </w:r>
    </w:p>
    <w:p>
      <w:pPr>
        <w:pStyle w:val="ListParagraph"/>
        <w:numPr>
          <w:ilvl w:val="0"/>
          <w:numId w:val="1"/>
        </w:numPr>
        <w:spacing w:after="60"/>
      </w:pPr>
      <w:r>
        <w:t xml:space="preserve">IA &amp; innovation : 50/100 (1/6 réponses · 1P / 0N)</w:t>
      </w:r>
    </w:p>
    <w:p>
      <w:pPr>
        <w:pStyle w:val="ListParagraph"/>
        <w:numPr>
          <w:ilvl w:val="0"/>
          <w:numId w:val="1"/>
        </w:numPr>
        <w:spacing w:after="60"/>
      </w:pPr>
      <w:r>
        <w:t xml:space="preserve">Conduite de projet : — (0/6 réponses · 0P / 0N)</w:t>
      </w:r>
    </w:p>
    <w:p>
      <w:pPr>
        <w:pStyle w:val="Heading3"/>
        <w:spacing w:after="80" w:before="200"/>
      </w:pPr>
      <w:r>
        <w:rPr>
          <w:b/>
          <w:bCs/>
          <w:sz w:val="22"/>
          <w:szCs w:val="22"/>
        </w:rPr>
        <w:t xml:space="preserve">Modern Workplace — détail par catégorie</w:t>
      </w:r>
    </w:p>
    <w:p>
      <w:pPr>
        <w:pStyle w:val="ListParagraph"/>
        <w:numPr>
          <w:ilvl w:val="0"/>
          <w:numId w:val="1"/>
        </w:numPr>
        <w:spacing w:after="60"/>
      </w:pPr>
      <w:r>
        <w:t xml:space="preserve">Identité &amp; accès : 90/100 (5/5 réponses · 1P / 0N)</w:t>
      </w:r>
    </w:p>
    <w:p>
      <w:pPr>
        <w:pStyle w:val="ListParagraph"/>
        <w:numPr>
          <w:ilvl w:val="0"/>
          <w:numId w:val="1"/>
        </w:numPr>
        <w:spacing w:after="60"/>
      </w:pPr>
      <w:r>
        <w:t xml:space="preserve">Productivité &amp; collaboration : 90/100 (5/5 réponses · 1P / 0N)</w:t>
      </w:r>
    </w:p>
    <w:p>
      <w:pPr>
        <w:pStyle w:val="ListParagraph"/>
        <w:numPr>
          <w:ilvl w:val="0"/>
          <w:numId w:val="1"/>
        </w:numPr>
        <w:spacing w:after="60"/>
      </w:pPr>
      <w:r>
        <w:t xml:space="preserve">Endpoint &amp; sécurité poste : 83/100 (6/6 réponses · 2P / 0N)</w:t>
      </w:r>
    </w:p>
    <w:p>
      <w:pPr>
        <w:pStyle w:val="ListParagraph"/>
        <w:numPr>
          <w:ilvl w:val="0"/>
          <w:numId w:val="1"/>
        </w:numPr>
        <w:spacing w:after="60"/>
      </w:pPr>
      <w:r>
        <w:t xml:space="preserve">Communication &amp; visio : 90/100 (5/5 réponses · 1P / 0N)</w:t>
      </w:r>
    </w:p>
    <w:p>
      <w:pPr>
        <w:pStyle w:val="ListParagraph"/>
        <w:numPr>
          <w:ilvl w:val="0"/>
          <w:numId w:val="1"/>
        </w:numPr>
        <w:spacing w:after="60"/>
      </w:pPr>
      <w:r>
        <w:t xml:space="preserve">Stockage &amp; sauvegarde : 83/100 (6/6 réponses · 2P / 0N)</w:t>
      </w:r>
    </w:p>
    <w:p>
      <w:pPr>
        <w:pStyle w:val="ListParagraph"/>
        <w:numPr>
          <w:ilvl w:val="0"/>
          <w:numId w:val="1"/>
        </w:numPr>
        <w:spacing w:after="60"/>
      </w:pPr>
      <w:r>
        <w:t xml:space="preserve">Souveraineté &amp; conformité : 100/100 (1/8 réponses · 0P / 0N)</w:t>
      </w:r>
    </w:p>
    <w:p>
      <w:pPr>
        <w:pStyle w:val="Heading3"/>
        <w:spacing w:after="80" w:before="200"/>
      </w:pPr>
      <w:r>
        <w:rPr>
          <w:b/>
          <w:bCs/>
          <w:sz w:val="22"/>
          <w:szCs w:val="22"/>
        </w:rPr>
        <w:t xml:space="preserve">Zero Trust — détail par catégorie</w:t>
      </w:r>
    </w:p>
    <w:p>
      <w:pPr>
        <w:pStyle w:val="ListParagraph"/>
        <w:numPr>
          <w:ilvl w:val="0"/>
          <w:numId w:val="1"/>
        </w:numPr>
        <w:spacing w:after="60"/>
      </w:pPr>
      <w:r>
        <w:t xml:space="preserve">Identité : 78/100 (9/9 réponses · 4P / 0N)</w:t>
      </w:r>
    </w:p>
    <w:p>
      <w:pPr>
        <w:pStyle w:val="ListParagraph"/>
        <w:numPr>
          <w:ilvl w:val="0"/>
          <w:numId w:val="1"/>
        </w:numPr>
        <w:spacing w:after="60"/>
      </w:pPr>
      <w:r>
        <w:t xml:space="preserve">Appareils : 81/100 (8/8 réponses · 3P / 0N)</w:t>
      </w:r>
    </w:p>
    <w:p>
      <w:pPr>
        <w:pStyle w:val="ListParagraph"/>
        <w:numPr>
          <w:ilvl w:val="0"/>
          <w:numId w:val="1"/>
        </w:numPr>
        <w:spacing w:after="60"/>
      </w:pPr>
      <w:r>
        <w:t xml:space="preserve">Réseau : 83/100 (3/8 réponses · 1P / 0N)</w:t>
      </w:r>
    </w:p>
    <w:p>
      <w:pPr>
        <w:pStyle w:val="ListParagraph"/>
        <w:numPr>
          <w:ilvl w:val="0"/>
          <w:numId w:val="1"/>
        </w:numPr>
        <w:spacing w:after="60"/>
      </w:pPr>
      <w:r>
        <w:t xml:space="preserve">Applications : — (0/8 réponses · 0P / 0N)</w:t>
      </w:r>
    </w:p>
    <w:p>
      <w:pPr>
        <w:pStyle w:val="ListParagraph"/>
        <w:numPr>
          <w:ilvl w:val="0"/>
          <w:numId w:val="1"/>
        </w:numPr>
        <w:spacing w:after="60"/>
      </w:pPr>
      <w:r>
        <w:t xml:space="preserve">Données : — (0/8 réponses · 0P / 0N)</w:t>
      </w:r>
    </w:p>
    <w:p>
      <w:pPr>
        <w:pStyle w:val="ListParagraph"/>
        <w:numPr>
          <w:ilvl w:val="0"/>
          <w:numId w:val="1"/>
        </w:numPr>
        <w:spacing w:after="60"/>
      </w:pPr>
      <w:r>
        <w:t xml:space="preserve">Visibilité &amp; Automatisation : — (0/9 réponses · 0P / 0N)</w:t>
      </w:r>
    </w:p>
    <w:p>
      <w:pPr>
        <w:pStyle w:val="Heading3"/>
        <w:spacing w:after="80" w:before="200"/>
      </w:pPr>
      <w:r>
        <w:rPr>
          <w:b/>
          <w:bCs/>
          <w:sz w:val="22"/>
          <w:szCs w:val="22"/>
        </w:rPr>
        <w:t xml:space="preserve">IA &amp; Automatisations — détail par catégorie</w:t>
      </w:r>
    </w:p>
    <w:p>
      <w:pPr>
        <w:pStyle w:val="ListParagraph"/>
        <w:numPr>
          <w:ilvl w:val="0"/>
          <w:numId w:val="1"/>
        </w:numPr>
        <w:spacing w:after="60"/>
      </w:pPr>
      <w:r>
        <w:t xml:space="preserve">Stratégie &amp; cas d'usage : — (0/6 réponses · 0P / 0N)</w:t>
      </w:r>
    </w:p>
    <w:p>
      <w:pPr>
        <w:pStyle w:val="ListParagraph"/>
        <w:numPr>
          <w:ilvl w:val="0"/>
          <w:numId w:val="1"/>
        </w:numPr>
        <w:spacing w:after="60"/>
      </w:pPr>
      <w:r>
        <w:t xml:space="preserve">Gouvernance &amp; AI Act : — (0/7 réponses · 0P / 0N)</w:t>
      </w:r>
    </w:p>
    <w:p>
      <w:pPr>
        <w:pStyle w:val="ListParagraph"/>
        <w:numPr>
          <w:ilvl w:val="0"/>
          <w:numId w:val="1"/>
        </w:numPr>
        <w:spacing w:after="60"/>
      </w:pPr>
      <w:r>
        <w:t xml:space="preserve">Données &amp; qualité : — (0/6 réponses · 0P / 0N)</w:t>
      </w:r>
    </w:p>
    <w:p>
      <w:pPr>
        <w:pStyle w:val="ListParagraph"/>
        <w:numPr>
          <w:ilvl w:val="0"/>
          <w:numId w:val="1"/>
        </w:numPr>
        <w:spacing w:after="60"/>
      </w:pPr>
      <w:r>
        <w:t xml:space="preserve">Sécurité IA : — (0/7 réponses · 0P / 0N)</w:t>
      </w:r>
    </w:p>
    <w:p>
      <w:pPr>
        <w:pStyle w:val="ListParagraph"/>
        <w:numPr>
          <w:ilvl w:val="0"/>
          <w:numId w:val="1"/>
        </w:numPr>
        <w:spacing w:after="60"/>
      </w:pPr>
      <w:r>
        <w:t xml:space="preserve">Adoption : — (0/4 réponses · 0P / 0N)</w:t>
      </w:r>
    </w:p>
    <w:p>
      <w:pPr>
        <w:pStyle w:val="ListParagraph"/>
        <w:numPr>
          <w:ilvl w:val="0"/>
          <w:numId w:val="1"/>
        </w:numPr>
        <w:spacing w:after="60"/>
      </w:pPr>
      <w:r>
        <w:t xml:space="preserve">Automatisation processus : — (0/6 réponses · 0P / 0N)</w:t>
      </w:r>
    </w:p>
    <w:p>
      <w:pPr>
        <w:pStyle w:val="ListParagraph"/>
        <w:numPr>
          <w:ilvl w:val="0"/>
          <w:numId w:val="1"/>
        </w:numPr>
        <w:spacing w:after="60"/>
      </w:pPr>
      <w:r>
        <w:t xml:space="preserve">Performance &amp; FinOps IA : — (0/8 réponses · 0P / 0N)</w:t>
      </w:r>
    </w:p>
    <w:p>
      <w:pPr>
        <w:pStyle w:val="ListParagraph"/>
        <w:numPr>
          <w:ilvl w:val="0"/>
          <w:numId w:val="1"/>
        </w:numPr>
        <w:spacing w:after="60"/>
      </w:pPr>
      <w:r>
        <w:t xml:space="preserve">IA locale &amp; souveraineté : — (0/2 réponses · 0P / 0N)</w:t>
      </w:r>
    </w:p>
    <w:p>
      <w:pPr>
        <w:pStyle w:val="ListParagraph"/>
        <w:numPr>
          <w:ilvl w:val="0"/>
          <w:numId w:val="1"/>
        </w:numPr>
        <w:spacing w:after="60"/>
      </w:pPr>
      <w:r>
        <w:t xml:space="preserve">IA agentique &amp; assistants : — (0/4 réponses · 0P / 0N)</w:t>
      </w:r>
    </w:p>
    <w:p>
      <w:pPr>
        <w:pStyle w:val="ListParagraph"/>
        <w:numPr>
          <w:ilvl w:val="0"/>
          <w:numId w:val="1"/>
        </w:numPr>
        <w:spacing w:after="60"/>
      </w:pPr>
      <w:r>
        <w:t xml:space="preserve">Développement assisté par IA : — (0/3 réponses · 0P / 0N)</w:t>
      </w:r>
    </w:p>
    <w:p>
      <w:pPr>
        <w:pStyle w:val="ListParagraph"/>
        <w:numPr>
          <w:ilvl w:val="0"/>
          <w:numId w:val="1"/>
        </w:numPr>
        <w:spacing w:after="60"/>
      </w:pPr>
      <w:r>
        <w:t xml:space="preserve">Vibe coding &amp; citizen development : — (0/3 réponses · 0P / 0N)</w:t>
      </w:r>
    </w:p>
    <w:p>
      <w:pPr>
        <w:pStyle w:val="Heading3"/>
        <w:spacing w:after="80" w:before="200"/>
      </w:pPr>
      <w:r>
        <w:rPr>
          <w:b/>
          <w:bCs/>
          <w:sz w:val="22"/>
          <w:szCs w:val="22"/>
        </w:rPr>
        <w:t xml:space="preserve">Entretien dirigeant — détail par catégorie</w:t>
      </w:r>
    </w:p>
    <w:p>
      <w:pPr>
        <w:pStyle w:val="ListParagraph"/>
        <w:numPr>
          <w:ilvl w:val="0"/>
          <w:numId w:val="1"/>
        </w:numPr>
        <w:spacing w:after="60"/>
      </w:pPr>
      <w:r>
        <w:t xml:space="preserve">Irritants : — (0/1 réponses · 0P / 0N)</w:t>
      </w:r>
    </w:p>
    <w:p>
      <w:pPr>
        <w:pStyle w:val="ListParagraph"/>
        <w:numPr>
          <w:ilvl w:val="0"/>
          <w:numId w:val="1"/>
        </w:numPr>
        <w:spacing w:after="60"/>
      </w:pPr>
      <w:r>
        <w:t xml:space="preserve">Continuité : — (0/1 réponses · 0P / 0N)</w:t>
      </w:r>
    </w:p>
    <w:p>
      <w:pPr>
        <w:pStyle w:val="ListParagraph"/>
        <w:numPr>
          <w:ilvl w:val="0"/>
          <w:numId w:val="1"/>
        </w:numPr>
        <w:spacing w:after="60"/>
      </w:pPr>
      <w:r>
        <w:t xml:space="preserve">Vision : — (0/1 réponses · 0P / 0N)</w:t>
      </w:r>
    </w:p>
    <w:p>
      <w:pPr>
        <w:pStyle w:val="ListParagraph"/>
        <w:numPr>
          <w:ilvl w:val="0"/>
          <w:numId w:val="1"/>
        </w:numPr>
        <w:spacing w:after="60"/>
      </w:pPr>
      <w:r>
        <w:t xml:space="preserve">Pilotage : — (0/1 réponses · 0P / 0N)</w:t>
      </w:r>
    </w:p>
    <w:p>
      <w:pPr>
        <w:pStyle w:val="ListParagraph"/>
        <w:numPr>
          <w:ilvl w:val="0"/>
          <w:numId w:val="1"/>
        </w:numPr>
        <w:spacing w:after="60"/>
      </w:pPr>
      <w:r>
        <w:t xml:space="preserve">Décision : — (0/1 réponses · 0P / 0N)</w:t>
      </w:r>
    </w:p>
    <w:p>
      <w:pPr>
        <w:pStyle w:val="ListParagraph"/>
        <w:numPr>
          <w:ilvl w:val="0"/>
          <w:numId w:val="1"/>
        </w:numPr>
        <w:spacing w:after="60"/>
      </w:pPr>
      <w:r>
        <w:t xml:space="preserve">Posture : — (0/1 réponses · 0P / 0N)</w:t>
      </w:r>
    </w:p>
    <w:p>
      <w:pPr>
        <w:pStyle w:val="ListParagraph"/>
        <w:numPr>
          <w:ilvl w:val="0"/>
          <w:numId w:val="1"/>
        </w:numPr>
        <w:spacing w:after="60"/>
      </w:pPr>
      <w:r>
        <w:t xml:space="preserve">Dépendances : — (0/1 réponses · 0P / 0N)</w:t>
      </w:r>
    </w:p>
    <w:p>
      <w:pPr>
        <w:pStyle w:val="ListParagraph"/>
        <w:numPr>
          <w:ilvl w:val="0"/>
          <w:numId w:val="1"/>
        </w:numPr>
        <w:spacing w:after="60"/>
      </w:pPr>
      <w:r>
        <w:t xml:space="preserve">Incidents : — (0/1 réponses · 0P / 0N)</w:t>
      </w:r>
    </w:p>
    <w:p>
      <w:pPr>
        <w:pStyle w:val="ListParagraph"/>
        <w:numPr>
          <w:ilvl w:val="0"/>
          <w:numId w:val="1"/>
        </w:numPr>
        <w:spacing w:after="60"/>
      </w:pPr>
      <w:r>
        <w:t xml:space="preserve">ROI : — (0/1 réponses · 0P / 0N)</w:t>
      </w:r>
    </w:p>
    <w:p>
      <w:pPr>
        <w:pStyle w:val="ListParagraph"/>
        <w:numPr>
          <w:ilvl w:val="0"/>
          <w:numId w:val="1"/>
        </w:numPr>
        <w:spacing w:after="60"/>
      </w:pPr>
      <w:r>
        <w:t xml:space="preserve">Trajectoire : — (0/1 réponses · 0P / 0N)</w:t>
      </w:r>
    </w:p>
    <w:p>
      <w:pPr>
        <w:pStyle w:val="ListParagraph"/>
        <w:numPr>
          <w:ilvl w:val="0"/>
          <w:numId w:val="1"/>
        </w:numPr>
        <w:spacing w:after="60"/>
      </w:pPr>
      <w:r>
        <w:t xml:space="preserve">Mandat : — (0/1 réponses · 0P / 0N)</w:t>
      </w:r>
    </w:p>
    <w:p>
      <w:pPr>
        <w:pStyle w:val="ListParagraph"/>
        <w:numPr>
          <w:ilvl w:val="0"/>
          <w:numId w:val="1"/>
        </w:numPr>
        <w:spacing w:after="60"/>
      </w:pPr>
      <w:r>
        <w:t xml:space="preserve">Clôture : — (0/3 réponses · 0P / 0N)</w:t>
      </w:r>
    </w:p>
    <w:p>
      <w:pPr>
        <w:pStyle w:val="Heading3"/>
        <w:spacing w:after="80" w:before="200"/>
      </w:pPr>
      <w:r>
        <w:rPr>
          <w:b/>
          <w:bCs/>
          <w:sz w:val="22"/>
          <w:szCs w:val="22"/>
        </w:rPr>
        <w:t xml:space="preserve">France Num — détail par catégorie</w:t>
      </w:r>
    </w:p>
    <w:p>
      <w:pPr>
        <w:pStyle w:val="ListParagraph"/>
        <w:numPr>
          <w:ilvl w:val="0"/>
          <w:numId w:val="1"/>
        </w:numPr>
        <w:spacing w:after="60"/>
      </w:pPr>
      <w:r>
        <w:t xml:space="preserve">Présence en ligne : — (0/4 réponses · 0P / 0N)</w:t>
      </w:r>
    </w:p>
    <w:p>
      <w:pPr>
        <w:pStyle w:val="ListParagraph"/>
        <w:numPr>
          <w:ilvl w:val="0"/>
          <w:numId w:val="1"/>
        </w:numPr>
        <w:spacing w:after="60"/>
      </w:pPr>
      <w:r>
        <w:t xml:space="preserve">Relation client &amp; CRM : — (0/4 réponses · 0P / 0N)</w:t>
      </w:r>
    </w:p>
    <w:p>
      <w:pPr>
        <w:pStyle w:val="ListParagraph"/>
        <w:numPr>
          <w:ilvl w:val="0"/>
          <w:numId w:val="1"/>
        </w:numPr>
        <w:spacing w:after="60"/>
      </w:pPr>
      <w:r>
        <w:t xml:space="preserve">Vente en ligne &amp; canaux digitaux : — (0/4 réponses · 0P / 0N)</w:t>
      </w:r>
    </w:p>
    <w:p>
      <w:pPr>
        <w:pStyle w:val="ListParagraph"/>
        <w:numPr>
          <w:ilvl w:val="0"/>
          <w:numId w:val="1"/>
        </w:numPr>
        <w:spacing w:after="60"/>
      </w:pPr>
      <w:r>
        <w:t xml:space="preserve">Processus &amp; opérations numériques : — (0/4 réponses · 0P / 0N)</w:t>
      </w:r>
    </w:p>
    <w:p>
      <w:pPr>
        <w:pStyle w:val="ListParagraph"/>
        <w:numPr>
          <w:ilvl w:val="0"/>
          <w:numId w:val="1"/>
        </w:numPr>
        <w:spacing w:after="60"/>
      </w:pPr>
      <w:r>
        <w:t xml:space="preserve">Sécurité numérique de base : — (0/4 réponses · 0P / 0N)</w:t>
      </w:r>
    </w:p>
    <w:p>
      <w:pPr>
        <w:pStyle w:val="ListParagraph"/>
        <w:numPr>
          <w:ilvl w:val="0"/>
          <w:numId w:val="1"/>
        </w:numPr>
        <w:spacing w:after="60"/>
      </w:pPr>
      <w:r>
        <w:t xml:space="preserve">Données &amp; pilotage : — (0/4 réponses · 0P / 0N)</w:t>
      </w:r>
    </w:p>
    <w:p>
      <w:pPr>
        <w:pStyle w:val="Heading3"/>
        <w:spacing w:after="80" w:before="200"/>
      </w:pPr>
      <w:r>
        <w:rPr>
          <w:b/>
          <w:bCs/>
          <w:sz w:val="22"/>
          <w:szCs w:val="22"/>
        </w:rPr>
        <w:t xml:space="preserve">PCA/PRA — détail par catégorie</w:t>
      </w:r>
    </w:p>
    <w:p>
      <w:pPr>
        <w:pStyle w:val="ListParagraph"/>
        <w:numPr>
          <w:ilvl w:val="0"/>
          <w:numId w:val="1"/>
        </w:numPr>
        <w:spacing w:after="60"/>
      </w:pPr>
      <w:r>
        <w:t xml:space="preserve">Gouvernance &amp; périmètre PCA/PRA : — (0/3 réponses · 0P / 0N)</w:t>
      </w:r>
    </w:p>
    <w:p>
      <w:pPr>
        <w:pStyle w:val="ListParagraph"/>
        <w:numPr>
          <w:ilvl w:val="0"/>
          <w:numId w:val="1"/>
        </w:numPr>
        <w:spacing w:after="60"/>
      </w:pPr>
      <w:r>
        <w:t xml:space="preserve">Analyse d'impact BIA : — (0/3 réponses · 0P / 0N)</w:t>
      </w:r>
    </w:p>
    <w:p>
      <w:pPr>
        <w:pStyle w:val="ListParagraph"/>
        <w:numPr>
          <w:ilvl w:val="0"/>
          <w:numId w:val="1"/>
        </w:numPr>
        <w:spacing w:after="60"/>
      </w:pPr>
      <w:r>
        <w:t xml:space="preserve">Stratégies de continuité : — (0/3 réponses · 0P / 0N)</w:t>
      </w:r>
    </w:p>
    <w:p>
      <w:pPr>
        <w:pStyle w:val="ListParagraph"/>
        <w:numPr>
          <w:ilvl w:val="0"/>
          <w:numId w:val="1"/>
        </w:numPr>
        <w:spacing w:after="60"/>
      </w:pPr>
      <w:r>
        <w:t xml:space="preserve">Plans PCA/PRA documentation : — (0/2 réponses · 0P / 0N)</w:t>
      </w:r>
    </w:p>
    <w:p>
      <w:pPr>
        <w:pStyle w:val="ListParagraph"/>
        <w:numPr>
          <w:ilvl w:val="0"/>
          <w:numId w:val="1"/>
        </w:numPr>
        <w:spacing w:after="60"/>
      </w:pPr>
      <w:r>
        <w:t xml:space="preserve">Tests &amp; exercices : — (0/3 réponses · 0P / 0N)</w:t>
      </w:r>
    </w:p>
    <w:p>
      <w:pPr>
        <w:pStyle w:val="ListParagraph"/>
        <w:numPr>
          <w:ilvl w:val="0"/>
          <w:numId w:val="1"/>
        </w:numPr>
        <w:spacing w:after="60"/>
      </w:pPr>
      <w:r>
        <w:t xml:space="preserve">Intégration cyber : — (0/1 réponses · 0P / 0N)</w:t>
      </w:r>
    </w:p>
    <w:p>
      <w:pPr>
        <w:pStyle w:val="Heading3"/>
        <w:spacing w:after="80" w:before="200"/>
      </w:pPr>
      <w:r>
        <w:rPr>
          <w:b/>
          <w:bCs/>
          <w:sz w:val="22"/>
          <w:szCs w:val="22"/>
        </w:rPr>
        <w:t xml:space="preserve">Adoption ADKAR — détail par catégorie</w:t>
      </w:r>
    </w:p>
    <w:p>
      <w:pPr>
        <w:pStyle w:val="ListParagraph"/>
        <w:numPr>
          <w:ilvl w:val="0"/>
          <w:numId w:val="1"/>
        </w:numPr>
        <w:spacing w:after="60"/>
      </w:pPr>
      <w:r>
        <w:t xml:space="preserve">Awareness : — (0/3 réponses · 0P / 0N)</w:t>
      </w:r>
    </w:p>
    <w:p>
      <w:pPr>
        <w:pStyle w:val="ListParagraph"/>
        <w:numPr>
          <w:ilvl w:val="0"/>
          <w:numId w:val="1"/>
        </w:numPr>
        <w:spacing w:after="60"/>
      </w:pPr>
      <w:r>
        <w:t xml:space="preserve">Desire : — (0/3 réponses · 0P / 0N)</w:t>
      </w:r>
    </w:p>
    <w:p>
      <w:pPr>
        <w:pStyle w:val="ListParagraph"/>
        <w:numPr>
          <w:ilvl w:val="0"/>
          <w:numId w:val="1"/>
        </w:numPr>
        <w:spacing w:after="60"/>
      </w:pPr>
      <w:r>
        <w:t xml:space="preserve">Knowledge : — (0/3 réponses · 0P / 0N)</w:t>
      </w:r>
    </w:p>
    <w:p>
      <w:pPr>
        <w:pStyle w:val="ListParagraph"/>
        <w:numPr>
          <w:ilvl w:val="0"/>
          <w:numId w:val="1"/>
        </w:numPr>
        <w:spacing w:after="60"/>
      </w:pPr>
      <w:r>
        <w:t xml:space="preserve">Ability : — (0/3 réponses · 0P / 0N)</w:t>
      </w:r>
    </w:p>
    <w:p>
      <w:pPr>
        <w:pStyle w:val="ListParagraph"/>
        <w:numPr>
          <w:ilvl w:val="0"/>
          <w:numId w:val="1"/>
        </w:numPr>
        <w:spacing w:after="60"/>
      </w:pPr>
      <w:r>
        <w:t xml:space="preserve">Reinforcement : — (0/3 réponses · 0P / 0N)</w:t>
      </w:r>
    </w:p>
    <w:p>
      <w:pPr>
        <w:pStyle w:val="Heading3"/>
        <w:spacing w:after="80" w:before="200"/>
      </w:pPr>
      <w:r>
        <w:rPr>
          <w:b/>
          <w:bCs/>
          <w:sz w:val="22"/>
          <w:szCs w:val="22"/>
        </w:rPr>
        <w:t xml:space="preserve">Zachman SI — détail par catégorie</w:t>
      </w:r>
    </w:p>
    <w:p>
      <w:pPr>
        <w:pStyle w:val="ListParagraph"/>
        <w:numPr>
          <w:ilvl w:val="0"/>
          <w:numId w:val="1"/>
        </w:numPr>
        <w:spacing w:after="60"/>
      </w:pPr>
      <w:r>
        <w:t xml:space="preserve">Données (What) : — (0/5 réponses · 0P / 0N)</w:t>
      </w:r>
    </w:p>
    <w:p>
      <w:pPr>
        <w:pStyle w:val="ListParagraph"/>
        <w:numPr>
          <w:ilvl w:val="0"/>
          <w:numId w:val="1"/>
        </w:numPr>
        <w:spacing w:after="60"/>
      </w:pPr>
      <w:r>
        <w:t xml:space="preserve">Fonctions (How) : — (0/5 réponses · 0P / 0N)</w:t>
      </w:r>
    </w:p>
    <w:p>
      <w:pPr>
        <w:pStyle w:val="ListParagraph"/>
        <w:numPr>
          <w:ilvl w:val="0"/>
          <w:numId w:val="1"/>
        </w:numPr>
        <w:spacing w:after="60"/>
      </w:pPr>
      <w:r>
        <w:t xml:space="preserve">Réseaux (Where) : — (0/5 réponses · 0P / 0N)</w:t>
      </w:r>
    </w:p>
    <w:p>
      <w:pPr>
        <w:pStyle w:val="ListParagraph"/>
        <w:numPr>
          <w:ilvl w:val="0"/>
          <w:numId w:val="1"/>
        </w:numPr>
        <w:spacing w:after="60"/>
      </w:pPr>
      <w:r>
        <w:t xml:space="preserve">Personnes (Who) : — (0/5 réponses · 0P / 0N)</w:t>
      </w:r>
    </w:p>
    <w:p>
      <w:pPr>
        <w:pStyle w:val="ListParagraph"/>
        <w:numPr>
          <w:ilvl w:val="0"/>
          <w:numId w:val="1"/>
        </w:numPr>
        <w:spacing w:after="60"/>
      </w:pPr>
      <w:r>
        <w:t xml:space="preserve">Temps (When) : — (0/5 réponses · 0P / 0N)</w:t>
      </w:r>
    </w:p>
    <w:p>
      <w:pPr>
        <w:pStyle w:val="ListParagraph"/>
        <w:numPr>
          <w:ilvl w:val="0"/>
          <w:numId w:val="1"/>
        </w:numPr>
        <w:spacing w:after="60"/>
      </w:pPr>
      <w:r>
        <w:t xml:space="preserve">Motivations (Why) : — (0/5 réponses · 0P / 0N)</w:t>
      </w:r>
    </w:p>
    <w:p>
      <w:pPr>
        <w:pStyle w:val="Heading3"/>
        <w:spacing w:after="80" w:before="200"/>
      </w:pPr>
      <w:r>
        <w:rPr>
          <w:b/>
          <w:bCs/>
          <w:sz w:val="22"/>
          <w:szCs w:val="22"/>
        </w:rPr>
        <w:t xml:space="preserve">RGPD — détail par catégorie</w:t>
      </w:r>
    </w:p>
    <w:p>
      <w:pPr>
        <w:pStyle w:val="ListParagraph"/>
        <w:numPr>
          <w:ilvl w:val="0"/>
          <w:numId w:val="1"/>
        </w:numPr>
        <w:spacing w:after="60"/>
      </w:pPr>
      <w:r>
        <w:t xml:space="preserve">Pilotage de la protection des données : 75/100 (2/2 réponses · 1P / 0N)</w:t>
      </w:r>
    </w:p>
    <w:p>
      <w:pPr>
        <w:pStyle w:val="ListParagraph"/>
        <w:numPr>
          <w:ilvl w:val="0"/>
          <w:numId w:val="1"/>
        </w:numPr>
        <w:spacing w:after="60"/>
      </w:pPr>
      <w:r>
        <w:t xml:space="preserve">Cartographie &amp; registre des traitements : 100/100 (2/2 réponses · 0P / 0N)</w:t>
      </w:r>
    </w:p>
    <w:p>
      <w:pPr>
        <w:pStyle w:val="ListParagraph"/>
        <w:numPr>
          <w:ilvl w:val="0"/>
          <w:numId w:val="1"/>
        </w:numPr>
        <w:spacing w:after="60"/>
      </w:pPr>
      <w:r>
        <w:t xml:space="preserve">Analyse d'impact &amp; gestion des risques (DPIA) : 75/100 (2/2 réponses · 1P / 0N)</w:t>
      </w:r>
    </w:p>
    <w:p>
      <w:pPr>
        <w:pStyle w:val="ListParagraph"/>
        <w:numPr>
          <w:ilvl w:val="0"/>
          <w:numId w:val="1"/>
        </w:numPr>
        <w:spacing w:after="60"/>
      </w:pPr>
      <w:r>
        <w:t xml:space="preserve">Gestion des droits des personnes : 100/100 (2/2 réponses · 0P / 0N)</w:t>
      </w:r>
    </w:p>
    <w:p>
      <w:pPr>
        <w:pStyle w:val="ListParagraph"/>
        <w:numPr>
          <w:ilvl w:val="0"/>
          <w:numId w:val="1"/>
        </w:numPr>
        <w:spacing w:after="60"/>
      </w:pPr>
      <w:r>
        <w:t xml:space="preserve">Information &amp; transparence : 75/100 (2/2 réponses · 1P / 0N)</w:t>
      </w:r>
    </w:p>
    <w:p>
      <w:pPr>
        <w:pStyle w:val="ListParagraph"/>
        <w:numPr>
          <w:ilvl w:val="0"/>
          <w:numId w:val="1"/>
        </w:numPr>
        <w:spacing w:after="60"/>
      </w:pPr>
      <w:r>
        <w:t xml:space="preserve">Sécurité des données : 100/100 (2/2 réponses · 0P / 0N)</w:t>
      </w:r>
    </w:p>
    <w:p>
      <w:pPr>
        <w:pStyle w:val="ListParagraph"/>
        <w:numPr>
          <w:ilvl w:val="0"/>
          <w:numId w:val="1"/>
        </w:numPr>
        <w:spacing w:after="60"/>
      </w:pPr>
      <w:r>
        <w:t xml:space="preserve">Encadrement sous-traitants &amp; transferts : 75/100 (2/2 réponses · 1P / 0N)</w:t>
      </w:r>
    </w:p>
    <w:p>
      <w:pPr>
        <w:pStyle w:val="ListParagraph"/>
        <w:numPr>
          <w:ilvl w:val="0"/>
          <w:numId w:val="1"/>
        </w:numPr>
        <w:spacing w:after="60"/>
      </w:pPr>
      <w:r>
        <w:t xml:space="preserve">Sensibilisation &amp; culture RGPD : 100/100 (2/2 réponses · 0P / 0N)</w:t>
      </w:r>
    </w:p>
    <w:p>
      <w:pPr>
        <w:pStyle w:val="Heading3"/>
        <w:spacing w:after="80" w:before="200"/>
      </w:pPr>
      <w:r>
        <w:rPr>
          <w:b/>
          <w:bCs/>
          <w:sz w:val="22"/>
          <w:szCs w:val="22"/>
        </w:rPr>
        <w:t xml:space="preserve">Gestion risques — détail par catégorie</w:t>
      </w:r>
    </w:p>
    <w:p>
      <w:pPr>
        <w:pStyle w:val="ListParagraph"/>
        <w:numPr>
          <w:ilvl w:val="0"/>
          <w:numId w:val="1"/>
        </w:numPr>
        <w:spacing w:after="60"/>
      </w:pPr>
      <w:r>
        <w:t xml:space="preserve">Gouvernance &amp; politique risques : 75/100 (2/2 réponses · 1P / 0N)</w:t>
      </w:r>
    </w:p>
    <w:p>
      <w:pPr>
        <w:pStyle w:val="ListParagraph"/>
        <w:numPr>
          <w:ilvl w:val="0"/>
          <w:numId w:val="1"/>
        </w:numPr>
        <w:spacing w:after="60"/>
      </w:pPr>
      <w:r>
        <w:t xml:space="preserve">Méthodologie &amp; approche : 75/100 (2/2 réponses · 1P / 0N)</w:t>
      </w:r>
    </w:p>
    <w:p>
      <w:pPr>
        <w:pStyle w:val="ListParagraph"/>
        <w:numPr>
          <w:ilvl w:val="0"/>
          <w:numId w:val="1"/>
        </w:numPr>
        <w:spacing w:after="60"/>
      </w:pPr>
      <w:r>
        <w:t xml:space="preserve">Registre des risques : 100/100 (2/2 réponses · 0P / 0N)</w:t>
      </w:r>
    </w:p>
    <w:p>
      <w:pPr>
        <w:pStyle w:val="ListParagraph"/>
        <w:numPr>
          <w:ilvl w:val="0"/>
          <w:numId w:val="1"/>
        </w:numPr>
        <w:spacing w:after="60"/>
      </w:pPr>
      <w:r>
        <w:t xml:space="preserve">Traitement des risques : 75/100 (2/2 réponses · 1P / 0N)</w:t>
      </w:r>
    </w:p>
    <w:p>
      <w:pPr>
        <w:pStyle w:val="ListParagraph"/>
        <w:numPr>
          <w:ilvl w:val="0"/>
          <w:numId w:val="1"/>
        </w:numPr>
        <w:spacing w:after="60"/>
      </w:pPr>
      <w:r>
        <w:t xml:space="preserve">Suivi &amp; revue : 75/100 (2/2 réponses · 1P / 0N)</w:t>
      </w:r>
    </w:p>
    <w:p>
      <w:pPr>
        <w:pStyle w:val="ListParagraph"/>
        <w:numPr>
          <w:ilvl w:val="0"/>
          <w:numId w:val="1"/>
        </w:numPr>
        <w:spacing w:after="60"/>
      </w:pPr>
      <w:r>
        <w:t xml:space="preserve">Intégration décisionnelle : 100/100 (2/2 réponses · 0P / 0N)</w:t>
      </w:r>
    </w:p>
    <w:p>
      <w:pPr>
        <w:pStyle w:val="Heading3"/>
        <w:spacing w:after="80" w:before="200"/>
      </w:pPr>
      <w:r>
        <w:rPr>
          <w:b/>
          <w:bCs/>
          <w:sz w:val="22"/>
          <w:szCs w:val="22"/>
        </w:rPr>
        <w:t xml:space="preserve">Gouvernance IT — détail par catégorie</w:t>
      </w:r>
    </w:p>
    <w:p>
      <w:pPr>
        <w:pStyle w:val="ListParagraph"/>
        <w:numPr>
          <w:ilvl w:val="0"/>
          <w:numId w:val="1"/>
        </w:numPr>
        <w:spacing w:after="60"/>
      </w:pPr>
      <w:r>
        <w:t xml:space="preserve">Alignement stratégique IT/métier : 75/100 (2/2 réponses · 1P / 0N)</w:t>
      </w:r>
    </w:p>
    <w:p>
      <w:pPr>
        <w:pStyle w:val="ListParagraph"/>
        <w:numPr>
          <w:ilvl w:val="0"/>
          <w:numId w:val="1"/>
        </w:numPr>
        <w:spacing w:after="60"/>
      </w:pPr>
      <w:r>
        <w:t xml:space="preserve">Comités &amp; instances de pilotage : 75/100 (2/2 réponses · 1P / 0N)</w:t>
      </w:r>
    </w:p>
    <w:p>
      <w:pPr>
        <w:pStyle w:val="ListParagraph"/>
        <w:numPr>
          <w:ilvl w:val="0"/>
          <w:numId w:val="1"/>
        </w:numPr>
        <w:spacing w:after="60"/>
      </w:pPr>
      <w:r>
        <w:t xml:space="preserve">Budget &amp; investissement IT : 100/100 (2/2 réponses · 0P / 0N)</w:t>
      </w:r>
    </w:p>
    <w:p>
      <w:pPr>
        <w:pStyle w:val="ListParagraph"/>
        <w:numPr>
          <w:ilvl w:val="0"/>
          <w:numId w:val="1"/>
        </w:numPr>
        <w:spacing w:after="60"/>
      </w:pPr>
      <w:r>
        <w:t xml:space="preserve">Gestion fournisseurs &amp; contrats : 75/100 (2/2 réponses · 1P / 0N)</w:t>
      </w:r>
    </w:p>
    <w:p>
      <w:pPr>
        <w:pStyle w:val="ListParagraph"/>
        <w:numPr>
          <w:ilvl w:val="0"/>
          <w:numId w:val="1"/>
        </w:numPr>
        <w:spacing w:after="60"/>
      </w:pPr>
      <w:r>
        <w:t xml:space="preserve">Indicateurs &amp; reporting : 75/100 (2/2 réponses · 1P / 0N)</w:t>
      </w:r>
    </w:p>
    <w:p>
      <w:pPr>
        <w:pStyle w:val="ListParagraph"/>
        <w:numPr>
          <w:ilvl w:val="0"/>
          <w:numId w:val="1"/>
        </w:numPr>
        <w:spacing w:after="60"/>
      </w:pPr>
      <w:r>
        <w:t xml:space="preserve">Gestion du portefeuille projets IT : 75/100 (2/2 réponses · 1P / 0N)</w:t>
      </w:r>
    </w:p>
    <w:p>
      <w:pPr>
        <w:pStyle w:val="ListParagraph"/>
        <w:numPr>
          <w:ilvl w:val="0"/>
          <w:numId w:val="1"/>
        </w:numPr>
        <w:spacing w:after="60"/>
      </w:pPr>
      <w:r>
        <w:t xml:space="preserve">Ressources &amp; compétences IT : 75/100 (2/2 réponses · 1P / 0N)</w:t>
      </w:r>
    </w:p>
    <w:p>
      <w:pPr>
        <w:pStyle w:val="Heading3"/>
        <w:spacing w:after="80" w:before="200"/>
      </w:pPr>
      <w:r>
        <w:rPr>
          <w:b/>
          <w:bCs/>
          <w:sz w:val="22"/>
          <w:szCs w:val="22"/>
        </w:rPr>
        <w:t xml:space="preserve">Parc IT — détail par catégorie</w:t>
      </w:r>
    </w:p>
    <w:p>
      <w:pPr>
        <w:pStyle w:val="ListParagraph"/>
        <w:numPr>
          <w:ilvl w:val="0"/>
          <w:numId w:val="1"/>
        </w:numPr>
        <w:spacing w:after="60"/>
      </w:pPr>
      <w:r>
        <w:t xml:space="preserve">Inventaire &amp; découverte : 100/100 (2/2 réponses · 0P / 0N)</w:t>
      </w:r>
    </w:p>
    <w:p>
      <w:pPr>
        <w:pStyle w:val="ListParagraph"/>
        <w:numPr>
          <w:ilvl w:val="0"/>
          <w:numId w:val="1"/>
        </w:numPr>
        <w:spacing w:after="60"/>
      </w:pPr>
      <w:r>
        <w:t xml:space="preserve">Lifecycle postes &amp; serveurs : 75/100 (2/2 réponses · 1P / 0N)</w:t>
      </w:r>
    </w:p>
    <w:p>
      <w:pPr>
        <w:pStyle w:val="ListParagraph"/>
        <w:numPr>
          <w:ilvl w:val="0"/>
          <w:numId w:val="1"/>
        </w:numPr>
        <w:spacing w:after="60"/>
      </w:pPr>
      <w:r>
        <w:t xml:space="preserve">Gestion licences logicielles : 100/100 (2/2 réponses · 0P / 0N)</w:t>
      </w:r>
    </w:p>
    <w:p>
      <w:pPr>
        <w:pStyle w:val="ListParagraph"/>
        <w:numPr>
          <w:ilvl w:val="0"/>
          <w:numId w:val="1"/>
        </w:numPr>
        <w:spacing w:after="60"/>
      </w:pPr>
      <w:r>
        <w:t xml:space="preserve">Contrats &amp; garanties : 75/100 (2/2 réponses · 1P / 0N)</w:t>
      </w:r>
    </w:p>
    <w:p>
      <w:pPr>
        <w:pStyle w:val="ListParagraph"/>
        <w:numPr>
          <w:ilvl w:val="0"/>
          <w:numId w:val="1"/>
        </w:numPr>
        <w:spacing w:after="60"/>
      </w:pPr>
      <w:r>
        <w:t xml:space="preserve">Obsolescence &amp; dette technique : 100/100 (2/2 réponses · 0P / 0N)</w:t>
      </w:r>
    </w:p>
    <w:p>
      <w:pPr>
        <w:pStyle w:val="ListParagraph"/>
        <w:numPr>
          <w:ilvl w:val="0"/>
          <w:numId w:val="1"/>
        </w:numPr>
        <w:spacing w:after="60"/>
      </w:pPr>
      <w:r>
        <w:t xml:space="preserve">Lien avec sécurité : 75/100 (2/2 réponses · 1P / 0N)</w:t>
      </w:r>
    </w:p>
    <w:p>
      <w:pPr>
        <w:pStyle w:val="Heading3"/>
        <w:spacing w:after="80" w:before="200"/>
      </w:pPr>
      <w:r>
        <w:rPr>
          <w:b/>
          <w:bCs/>
          <w:sz w:val="22"/>
          <w:szCs w:val="22"/>
        </w:rPr>
        <w:t xml:space="preserve">Exploitation et support — détail par catégorie</w:t>
      </w:r>
    </w:p>
    <w:p>
      <w:pPr>
        <w:pStyle w:val="ListParagraph"/>
        <w:numPr>
          <w:ilvl w:val="0"/>
          <w:numId w:val="1"/>
        </w:numPr>
        <w:spacing w:after="60"/>
      </w:pPr>
      <w:r>
        <w:t xml:space="preserve">Support des utilisateurs : — (0/2 réponses · 0P / 0N)</w:t>
      </w:r>
    </w:p>
    <w:p>
      <w:pPr>
        <w:pStyle w:val="ListParagraph"/>
        <w:numPr>
          <w:ilvl w:val="0"/>
          <w:numId w:val="1"/>
        </w:numPr>
        <w:spacing w:after="60"/>
      </w:pPr>
      <w:r>
        <w:t xml:space="preserve">Prestataire et engagements de service : — (0/2 réponses · 0P / 0N)</w:t>
      </w:r>
    </w:p>
    <w:p>
      <w:pPr>
        <w:pStyle w:val="ListParagraph"/>
        <w:numPr>
          <w:ilvl w:val="0"/>
          <w:numId w:val="1"/>
        </w:numPr>
        <w:spacing w:after="60"/>
      </w:pPr>
      <w:r>
        <w:t xml:space="preserve">Accès d'administration : — (0/2 réponses · 0P / 0N)</w:t>
      </w:r>
    </w:p>
    <w:p>
      <w:pPr>
        <w:pStyle w:val="ListParagraph"/>
        <w:numPr>
          <w:ilvl w:val="0"/>
          <w:numId w:val="1"/>
        </w:numPr>
        <w:spacing w:after="60"/>
      </w:pPr>
      <w:r>
        <w:t xml:space="preserve">Mises à jour et changements : — (0/2 réponses · 0P / 0N)</w:t>
      </w:r>
    </w:p>
    <w:p>
      <w:pPr>
        <w:pStyle w:val="ListParagraph"/>
        <w:numPr>
          <w:ilvl w:val="0"/>
          <w:numId w:val="1"/>
        </w:numPr>
        <w:spacing w:after="60"/>
      </w:pPr>
      <w:r>
        <w:t xml:space="preserve">Surveillance et disponibilité : — (0/2 réponses · 0P / 0N)</w:t>
      </w:r>
    </w:p>
    <w:p>
      <w:pPr>
        <w:pStyle w:val="ListParagraph"/>
        <w:numPr>
          <w:ilvl w:val="0"/>
          <w:numId w:val="1"/>
        </w:numPr>
        <w:spacing w:after="60"/>
      </w:pPr>
      <w:r>
        <w:t xml:space="preserve">Documentation d'exploitation : — (0/2 réponses · 0P / 0N)</w:t>
      </w:r>
    </w:p>
    <w:p>
      <w:pPr>
        <w:pStyle w:val="Heading3"/>
        <w:spacing w:after="80" w:before="200"/>
      </w:pPr>
      <w:r>
        <w:rPr>
          <w:b/>
          <w:bCs/>
          <w:sz w:val="22"/>
          <w:szCs w:val="22"/>
        </w:rPr>
        <w:t xml:space="preserve">Applications et données — détail par catégorie</w:t>
      </w:r>
    </w:p>
    <w:p>
      <w:pPr>
        <w:pStyle w:val="ListParagraph"/>
        <w:numPr>
          <w:ilvl w:val="0"/>
          <w:numId w:val="1"/>
        </w:numPr>
        <w:spacing w:after="60"/>
      </w:pPr>
      <w:r>
        <w:t xml:space="preserve">Portefeuille de logiciels : — (0/2 réponses · 0P / 0N)</w:t>
      </w:r>
    </w:p>
    <w:p>
      <w:pPr>
        <w:pStyle w:val="ListParagraph"/>
        <w:numPr>
          <w:ilvl w:val="0"/>
          <w:numId w:val="1"/>
        </w:numPr>
        <w:spacing w:after="60"/>
      </w:pPr>
      <w:r>
        <w:t xml:space="preserve">Éditeurs et dépendances : — (0/2 réponses · 0P / 0N)</w:t>
      </w:r>
    </w:p>
    <w:p>
      <w:pPr>
        <w:pStyle w:val="ListParagraph"/>
        <w:numPr>
          <w:ilvl w:val="0"/>
          <w:numId w:val="1"/>
        </w:numPr>
        <w:spacing w:after="60"/>
      </w:pPr>
      <w:r>
        <w:t xml:space="preserve">Échanges entre logiciels : — (0/2 réponses · 0P / 0N)</w:t>
      </w:r>
    </w:p>
    <w:p>
      <w:pPr>
        <w:pStyle w:val="ListParagraph"/>
        <w:numPr>
          <w:ilvl w:val="0"/>
          <w:numId w:val="1"/>
        </w:numPr>
        <w:spacing w:after="60"/>
      </w:pPr>
      <w:r>
        <w:t xml:space="preserve">Données de référence et qualité : — (0/2 réponses · 0P / 0N)</w:t>
      </w:r>
    </w:p>
    <w:p>
      <w:pPr>
        <w:pStyle w:val="ListParagraph"/>
        <w:numPr>
          <w:ilvl w:val="0"/>
          <w:numId w:val="1"/>
        </w:numPr>
        <w:spacing w:after="60"/>
      </w:pPr>
      <w:r>
        <w:t xml:space="preserve">Stockage, accès et partage : — (0/2 réponses · 0P / 0N)</w:t>
      </w:r>
    </w:p>
    <w:p>
      <w:pPr>
        <w:pStyle w:val="ListParagraph"/>
        <w:numPr>
          <w:ilvl w:val="0"/>
          <w:numId w:val="1"/>
        </w:numPr>
        <w:spacing w:after="60"/>
      </w:pPr>
      <w:r>
        <w:t xml:space="preserve">Conservation et archivage : — (0/2 réponses · 0P / 0N)</w:t>
      </w:r>
    </w:p>
    <w:p>
      <w:pPr>
        <w:pStyle w:val="Heading3"/>
        <w:spacing w:after="80" w:before="200"/>
      </w:pPr>
      <w:r>
        <w:rPr>
          <w:b/>
          <w:bCs/>
          <w:sz w:val="22"/>
          <w:szCs w:val="22"/>
        </w:rPr>
        <w:t xml:space="preserve">Réseau et infrastructure — détail par catégorie</w:t>
      </w:r>
    </w:p>
    <w:p>
      <w:pPr>
        <w:pStyle w:val="ListParagraph"/>
        <w:numPr>
          <w:ilvl w:val="0"/>
          <w:numId w:val="1"/>
        </w:numPr>
        <w:spacing w:after="60"/>
      </w:pPr>
      <w:r>
        <w:t xml:space="preserve">Accès Internet et pare-feu : — (0/2 réponses · 0P / 0N)</w:t>
      </w:r>
    </w:p>
    <w:p>
      <w:pPr>
        <w:pStyle w:val="ListParagraph"/>
        <w:numPr>
          <w:ilvl w:val="0"/>
          <w:numId w:val="1"/>
        </w:numPr>
        <w:spacing w:after="60"/>
      </w:pPr>
      <w:r>
        <w:t xml:space="preserve">Réseau interne et cloisonnement : — (0/2 réponses · 0P / 0N)</w:t>
      </w:r>
    </w:p>
    <w:p>
      <w:pPr>
        <w:pStyle w:val="ListParagraph"/>
        <w:numPr>
          <w:ilvl w:val="0"/>
          <w:numId w:val="1"/>
        </w:numPr>
        <w:spacing w:after="60"/>
      </w:pPr>
      <w:r>
        <w:t xml:space="preserve">Wi-Fi : — (0/2 réponses · 0P / 0N)</w:t>
      </w:r>
    </w:p>
    <w:p>
      <w:pPr>
        <w:pStyle w:val="ListParagraph"/>
        <w:numPr>
          <w:ilvl w:val="0"/>
          <w:numId w:val="1"/>
        </w:numPr>
        <w:spacing w:after="60"/>
      </w:pPr>
      <w:r>
        <w:t xml:space="preserve">Accès à distance : — (0/2 réponses · 0P / 0N)</w:t>
      </w:r>
    </w:p>
    <w:p>
      <w:pPr>
        <w:pStyle w:val="ListParagraph"/>
        <w:numPr>
          <w:ilvl w:val="0"/>
          <w:numId w:val="1"/>
        </w:numPr>
        <w:spacing w:after="60"/>
      </w:pPr>
      <w:r>
        <w:t xml:space="preserve">Serveurs et stockage : — (0/2 réponses · 0P / 0N)</w:t>
      </w:r>
    </w:p>
    <w:p>
      <w:pPr>
        <w:pStyle w:val="ListParagraph"/>
        <w:numPr>
          <w:ilvl w:val="0"/>
          <w:numId w:val="1"/>
        </w:numPr>
        <w:spacing w:after="60"/>
      </w:pPr>
      <w:r>
        <w:t xml:space="preserve">Versions et fin de support : — (0/2 réponses · 0P / 0N)</w:t>
      </w:r>
    </w:p>
    <w:p>
      <w:pPr>
        <w:pStyle w:val="Heading3"/>
        <w:spacing w:after="80" w:before="200"/>
      </w:pPr>
      <w:r>
        <w:rPr>
          <w:b/>
          <w:bCs/>
          <w:sz w:val="22"/>
          <w:szCs w:val="22"/>
        </w:rPr>
        <w:t xml:space="preserve">Architecture et dette technique — détail par catégorie</w:t>
      </w:r>
    </w:p>
    <w:p>
      <w:pPr>
        <w:pStyle w:val="ListParagraph"/>
        <w:numPr>
          <w:ilvl w:val="0"/>
          <w:numId w:val="1"/>
        </w:numPr>
        <w:spacing w:after="60"/>
      </w:pPr>
      <w:r>
        <w:t xml:space="preserve">Vision cible : — (0/2 réponses · 0P / 0N)</w:t>
      </w:r>
    </w:p>
    <w:p>
      <w:pPr>
        <w:pStyle w:val="ListParagraph"/>
        <w:numPr>
          <w:ilvl w:val="0"/>
          <w:numId w:val="1"/>
        </w:numPr>
        <w:spacing w:after="60"/>
      </w:pPr>
      <w:r>
        <w:t xml:space="preserve">Dette technique : — (0/2 réponses · 0P / 0N)</w:t>
      </w:r>
    </w:p>
    <w:p>
      <w:pPr>
        <w:pStyle w:val="ListParagraph"/>
        <w:numPr>
          <w:ilvl w:val="0"/>
          <w:numId w:val="1"/>
        </w:numPr>
        <w:spacing w:after="60"/>
      </w:pPr>
      <w:r>
        <w:t xml:space="preserve">Outils faits maison : — (0/2 réponses · 0P / 0N)</w:t>
      </w:r>
    </w:p>
    <w:p>
      <w:pPr>
        <w:pStyle w:val="ListParagraph"/>
        <w:numPr>
          <w:ilvl w:val="0"/>
          <w:numId w:val="1"/>
        </w:numPr>
        <w:spacing w:after="60"/>
      </w:pPr>
      <w:r>
        <w:t xml:space="preserve">Relation avec les métiers : — (0/2 réponses · 0P / 0N)</w:t>
      </w:r>
    </w:p>
    <w:p>
      <w:pPr>
        <w:pStyle w:val="ListParagraph"/>
        <w:numPr>
          <w:ilvl w:val="0"/>
          <w:numId w:val="1"/>
        </w:numPr>
        <w:spacing w:after="60"/>
      </w:pPr>
      <w:r>
        <w:t xml:space="preserve">Compétences et capacités : — (0/2 réponses · 0P / 0N)</w:t>
      </w:r>
    </w:p>
    <w:p>
      <w:pPr>
        <w:pStyle w:val="ListParagraph"/>
        <w:numPr>
          <w:ilvl w:val="0"/>
          <w:numId w:val="1"/>
        </w:numPr>
        <w:spacing w:after="60"/>
      </w:pPr>
      <w:r>
        <w:t xml:space="preserve">Choix et réversibilité : — (0/2 réponses · 0P / 0N)</w:t>
      </w:r>
    </w:p>
    <w:p>
      <w:pPr>
        <w:pStyle w:val="Heading3"/>
        <w:spacing w:after="80" w:before="200"/>
      </w:pPr>
      <w:r>
        <w:rPr>
          <w:b/>
          <w:bCs/>
          <w:sz w:val="22"/>
          <w:szCs w:val="22"/>
        </w:rPr>
        <w:t xml:space="preserve">Conduite de projet — détail par catégorie</w:t>
      </w:r>
    </w:p>
    <w:p>
      <w:pPr>
        <w:pStyle w:val="ListParagraph"/>
        <w:numPr>
          <w:ilvl w:val="0"/>
          <w:numId w:val="1"/>
        </w:numPr>
        <w:spacing w:after="60"/>
      </w:pPr>
      <w:r>
        <w:t xml:space="preserve">Gouvernance des projets : — (0/3 réponses · 0P / 0N)</w:t>
      </w:r>
    </w:p>
    <w:p>
      <w:pPr>
        <w:pStyle w:val="ListParagraph"/>
        <w:numPr>
          <w:ilvl w:val="0"/>
          <w:numId w:val="1"/>
        </w:numPr>
        <w:spacing w:after="60"/>
      </w:pPr>
      <w:r>
        <w:t xml:space="preserve">Cadrage : — (0/3 réponses · 0P / 0N)</w:t>
      </w:r>
    </w:p>
    <w:p>
      <w:pPr>
        <w:pStyle w:val="ListParagraph"/>
        <w:numPr>
          <w:ilvl w:val="0"/>
          <w:numId w:val="1"/>
        </w:numPr>
        <w:spacing w:after="60"/>
      </w:pPr>
      <w:r>
        <w:t xml:space="preserve">Pilotage et suivi : — (0/3 réponses · 0P / 0N)</w:t>
      </w:r>
    </w:p>
    <w:p>
      <w:pPr>
        <w:pStyle w:val="ListParagraph"/>
        <w:numPr>
          <w:ilvl w:val="0"/>
          <w:numId w:val="1"/>
        </w:numPr>
        <w:spacing w:after="60"/>
      </w:pPr>
      <w:r>
        <w:t xml:space="preserve">Livraison et adoption : — (0/3 réponses · 0P / 0N)</w:t>
      </w:r>
    </w:p>
    <w:p>
      <w:pPr>
        <w:pStyle w:val="ListParagraph"/>
        <w:numPr>
          <w:ilvl w:val="0"/>
          <w:numId w:val="1"/>
        </w:numPr>
        <w:spacing w:after="60"/>
      </w:pPr>
      <w:r>
        <w:t xml:space="preserve">Clôture : — (0/3 réponses · 0P / 0N)</w:t>
      </w:r>
    </w:p>
    <w:p>
      <w:pPr>
        <w:pStyle w:val="Heading3"/>
        <w:spacing w:after="80" w:before="200"/>
      </w:pPr>
      <w:r>
        <w:rPr>
          <w:b/>
          <w:bCs/>
          <w:sz w:val="22"/>
          <w:szCs w:val="22"/>
        </w:rPr>
        <w:t xml:space="preserve">Reprise de projet — détail par catégorie</w:t>
      </w:r>
    </w:p>
    <w:p>
      <w:pPr>
        <w:pStyle w:val="ListParagraph"/>
        <w:numPr>
          <w:ilvl w:val="0"/>
          <w:numId w:val="1"/>
        </w:numPr>
        <w:spacing w:after="60"/>
      </w:pPr>
      <w:r>
        <w:t xml:space="preserve">Décision : — (0/2 réponses · 0P / 0N)</w:t>
      </w:r>
    </w:p>
    <w:p>
      <w:pPr>
        <w:pStyle w:val="ListParagraph"/>
        <w:numPr>
          <w:ilvl w:val="0"/>
          <w:numId w:val="1"/>
        </w:numPr>
        <w:spacing w:after="60"/>
      </w:pPr>
      <w:r>
        <w:t xml:space="preserve">Responsabilité : — (0/2 réponses · 0P / 0N)</w:t>
      </w:r>
    </w:p>
    <w:p>
      <w:pPr>
        <w:pStyle w:val="ListParagraph"/>
        <w:numPr>
          <w:ilvl w:val="0"/>
          <w:numId w:val="1"/>
        </w:numPr>
        <w:spacing w:after="60"/>
      </w:pPr>
      <w:r>
        <w:t xml:space="preserve">Échéance : — (0/2 réponses · 0P / 0N)</w:t>
      </w:r>
    </w:p>
    <w:p>
      <w:pPr>
        <w:pStyle w:val="ListParagraph"/>
        <w:numPr>
          <w:ilvl w:val="0"/>
          <w:numId w:val="1"/>
        </w:numPr>
        <w:spacing w:after="60"/>
      </w:pPr>
      <w:r>
        <w:t xml:space="preserve">Budget : — (0/2 réponses · 0P / 0N)</w:t>
      </w:r>
    </w:p>
    <w:p>
      <w:pPr>
        <w:pStyle w:val="ListParagraph"/>
        <w:numPr>
          <w:ilvl w:val="0"/>
          <w:numId w:val="1"/>
        </w:numPr>
        <w:spacing w:after="60"/>
      </w:pPr>
      <w:r>
        <w:t xml:space="preserve">Risques : — (0/2 réponses · 0P / 0N)</w:t>
      </w:r>
    </w:p>
    <w:p>
      <w:pPr>
        <w:pStyle w:val="ListParagraph"/>
        <w:numPr>
          <w:ilvl w:val="0"/>
          <w:numId w:val="1"/>
        </w:numPr>
        <w:spacing w:after="60"/>
      </w:pPr>
      <w:r>
        <w:t xml:space="preserve">Statut affiché : — (0/2 réponses · 0P / 0N)</w:t>
      </w:r>
    </w:p>
    <w:p>
      <w:pPr>
        <w:pStyle w:val="ListParagraph"/>
        <w:numPr>
          <w:ilvl w:val="0"/>
          <w:numId w:val="1"/>
        </w:numPr>
        <w:spacing w:after="60"/>
      </w:pPr>
      <w:r>
        <w:t xml:space="preserve">Périmètre et arrêt : — (0/2 réponses · 0P / 0N)</w:t>
      </w:r>
    </w:p>
    <w:p>
      <w:pPr>
        <w:pStyle w:val="Heading3"/>
        <w:spacing w:after="80" w:before="200"/>
      </w:pPr>
      <w:r>
        <w:rPr>
          <w:b/>
          <w:bCs/>
          <w:sz w:val="22"/>
          <w:szCs w:val="22"/>
        </w:rPr>
        <w:t xml:space="preserve">Reprise de projet, 6 phrases — détail par catégorie</w:t>
      </w:r>
    </w:p>
    <w:p>
      <w:pPr>
        <w:pStyle w:val="ListParagraph"/>
        <w:numPr>
          <w:ilvl w:val="0"/>
          <w:numId w:val="1"/>
        </w:numPr>
        <w:spacing w:after="60"/>
      </w:pPr>
      <w:r>
        <w:t xml:space="preserve">Test des 6 phrases : — (0/6 réponses · 0P / 0N)</w:t>
      </w:r>
    </w:p>
    <w:p>
      <w:pPr>
        <w:pStyle w:val="ListParagraph"/>
        <w:numPr>
          <w:ilvl w:val="0"/>
          <w:numId w:val="1"/>
        </w:numPr>
        <w:spacing w:after="60"/>
      </w:pPr>
      <w:r>
        <w:t xml:space="preserve">Indicateurs de complexité : — (0/5 réponses · 0P / 0N)</w:t>
      </w:r>
    </w:p>
    <w:p>
      <w:pPr>
        <w:pStyle w:val="Heading3"/>
        <w:spacing w:after="80" w:before="200"/>
      </w:pPr>
      <w:r>
        <w:rPr>
          <w:b/>
          <w:bCs/>
          <w:sz w:val="22"/>
          <w:szCs w:val="22"/>
        </w:rPr>
        <w:t xml:space="preserve">Sensibilisation — détail par catégorie</w:t>
      </w:r>
    </w:p>
    <w:p>
      <w:pPr>
        <w:pStyle w:val="ListParagraph"/>
        <w:numPr>
          <w:ilvl w:val="0"/>
          <w:numId w:val="1"/>
        </w:numPr>
        <w:spacing w:after="60"/>
      </w:pPr>
      <w:r>
        <w:t xml:space="preserve">Programme de sensibilisation : 75/100 (2/2 réponses · 1P / 0N)</w:t>
      </w:r>
    </w:p>
    <w:p>
      <w:pPr>
        <w:pStyle w:val="ListParagraph"/>
        <w:numPr>
          <w:ilvl w:val="0"/>
          <w:numId w:val="1"/>
        </w:numPr>
        <w:spacing w:after="60"/>
      </w:pPr>
      <w:r>
        <w:t xml:space="preserve">Campagnes phishing simulé : 100/100 (2/2 réponses · 0P / 0N)</w:t>
      </w:r>
    </w:p>
    <w:p>
      <w:pPr>
        <w:pStyle w:val="ListParagraph"/>
        <w:numPr>
          <w:ilvl w:val="0"/>
          <w:numId w:val="1"/>
        </w:numPr>
        <w:spacing w:after="60"/>
      </w:pPr>
      <w:r>
        <w:t xml:space="preserve">Communication interne &amp; supports : 75/100 (2/2 réponses · 1P / 0N)</w:t>
      </w:r>
    </w:p>
    <w:p>
      <w:pPr>
        <w:pStyle w:val="ListParagraph"/>
        <w:numPr>
          <w:ilvl w:val="0"/>
          <w:numId w:val="1"/>
        </w:numPr>
        <w:spacing w:after="60"/>
      </w:pPr>
      <w:r>
        <w:t xml:space="preserve">Suivi &amp; indicateurs : 100/100 (2/2 réponses · 0P / 0N)</w:t>
      </w:r>
    </w:p>
    <w:p>
      <w:pPr>
        <w:pStyle w:val="ListParagraph"/>
        <w:numPr>
          <w:ilvl w:val="0"/>
          <w:numId w:val="1"/>
        </w:numPr>
        <w:spacing w:after="60"/>
      </w:pPr>
      <w:r>
        <w:t xml:space="preserve">Sponsoring management &amp; intégration gouvernance : 75/100 (2/2 réponses · 1P / 0N)</w:t>
      </w:r>
    </w:p>
    <w:p>
      <w:pPr>
        <w:pStyle w:val="Heading3"/>
        <w:spacing w:after="80" w:before="200"/>
      </w:pPr>
      <w:r>
        <w:rPr>
          <w:b/>
          <w:bCs/>
          <w:sz w:val="22"/>
          <w:szCs w:val="22"/>
        </w:rPr>
        <w:t xml:space="preserve">Google Workspace — détail par catégorie</w:t>
      </w:r>
    </w:p>
    <w:p>
      <w:pPr>
        <w:pStyle w:val="ListParagraph"/>
        <w:numPr>
          <w:ilvl w:val="0"/>
          <w:numId w:val="1"/>
        </w:numPr>
        <w:spacing w:after="60"/>
      </w:pPr>
      <w:r>
        <w:t xml:space="preserve">Identite &amp; 2SV : — (0/5 réponses · 0P / 0N)</w:t>
      </w:r>
    </w:p>
    <w:p>
      <w:pPr>
        <w:pStyle w:val="ListParagraph"/>
        <w:numPr>
          <w:ilvl w:val="0"/>
          <w:numId w:val="1"/>
        </w:numPr>
        <w:spacing w:after="60"/>
      </w:pPr>
      <w:r>
        <w:t xml:space="preserve">Partage &amp; DLP : — (0/4 réponses · 0P / 0N)</w:t>
      </w:r>
    </w:p>
    <w:p>
      <w:pPr>
        <w:pStyle w:val="ListParagraph"/>
        <w:numPr>
          <w:ilvl w:val="0"/>
          <w:numId w:val="1"/>
        </w:numPr>
        <w:spacing w:after="60"/>
      </w:pPr>
      <w:r>
        <w:t xml:space="preserve">Securite email : — (0/3 réponses · 0P / 0N)</w:t>
      </w:r>
    </w:p>
    <w:p>
      <w:pPr>
        <w:pStyle w:val="ListParagraph"/>
        <w:numPr>
          <w:ilvl w:val="0"/>
          <w:numId w:val="1"/>
        </w:numPr>
        <w:spacing w:after="60"/>
      </w:pPr>
      <w:r>
        <w:t xml:space="preserve">Mobilite : — (0/2 réponses · 0P / 0N)</w:t>
      </w:r>
    </w:p>
    <w:p>
      <w:pPr>
        <w:pStyle w:val="ListParagraph"/>
        <w:numPr>
          <w:ilvl w:val="0"/>
          <w:numId w:val="1"/>
        </w:numPr>
        <w:spacing w:after="60"/>
      </w:pPr>
      <w:r>
        <w:t xml:space="preserve">Gouvernance : — (0/3 réponses · 0P / 0N)</w:t>
      </w:r>
    </w:p>
    <w:p>
      <w:pPr>
        <w:pStyle w:val="ListParagraph"/>
        <w:numPr>
          <w:ilvl w:val="0"/>
          <w:numId w:val="1"/>
        </w:numPr>
        <w:spacing w:after="60"/>
      </w:pPr>
      <w:r>
        <w:t xml:space="preserve">Conformite : — (0/3 réponses · 0P / 0N)</w:t>
      </w:r>
    </w:p>
    <w:p>
      <w:pPr>
        <w:pStyle w:val="Heading3"/>
        <w:spacing w:after="80" w:before="200"/>
      </w:pPr>
      <w:r>
        <w:rPr>
          <w:b/>
          <w:bCs/>
          <w:sz w:val="22"/>
          <w:szCs w:val="22"/>
        </w:rPr>
        <w:t xml:space="preserve">FinOps — détail par catégorie</w:t>
      </w:r>
    </w:p>
    <w:p>
      <w:pPr>
        <w:pStyle w:val="ListParagraph"/>
        <w:numPr>
          <w:ilvl w:val="0"/>
          <w:numId w:val="1"/>
        </w:numPr>
        <w:spacing w:after="60"/>
      </w:pPr>
      <w:r>
        <w:t xml:space="preserve">Visibilité &amp; allocation : — (0/4 réponses · 0P / 0N)</w:t>
      </w:r>
    </w:p>
    <w:p>
      <w:pPr>
        <w:pStyle w:val="ListParagraph"/>
        <w:numPr>
          <w:ilvl w:val="0"/>
          <w:numId w:val="1"/>
        </w:numPr>
        <w:spacing w:after="60"/>
      </w:pPr>
      <w:r>
        <w:t xml:space="preserve">Licences &amp; SaaS : — (0/5 réponses · 0P / 0N)</w:t>
      </w:r>
    </w:p>
    <w:p>
      <w:pPr>
        <w:pStyle w:val="ListParagraph"/>
        <w:numPr>
          <w:ilvl w:val="0"/>
          <w:numId w:val="1"/>
        </w:numPr>
        <w:spacing w:after="60"/>
      </w:pPr>
      <w:r>
        <w:t xml:space="preserve">Cloud &amp; infrastructure : — (0/4 réponses · 0P / 0N)</w:t>
      </w:r>
    </w:p>
    <w:p>
      <w:pPr>
        <w:pStyle w:val="ListParagraph"/>
        <w:numPr>
          <w:ilvl w:val="0"/>
          <w:numId w:val="1"/>
        </w:numPr>
        <w:spacing w:after="60"/>
      </w:pPr>
      <w:r>
        <w:t xml:space="preserve">FinOps IA : — (0/5 réponses · 0P / 0N)</w:t>
      </w:r>
    </w:p>
    <w:p>
      <w:pPr>
        <w:pStyle w:val="ListParagraph"/>
        <w:numPr>
          <w:ilvl w:val="0"/>
          <w:numId w:val="1"/>
        </w:numPr>
        <w:spacing w:after="60"/>
      </w:pPr>
      <w:r>
        <w:t xml:space="preserve">Gouvernance &amp; processus : — (0/4 réponses · 0P / 0N)</w:t>
      </w:r>
    </w:p>
    <w:p>
      <w:pPr>
        <w:pStyle w:val="ListParagraph"/>
        <w:numPr>
          <w:ilvl w:val="0"/>
          <w:numId w:val="1"/>
        </w:numPr>
        <w:spacing w:after="60"/>
      </w:pPr>
      <w:r>
        <w:t xml:space="preserve">Sobriété &amp; durabilité : — (0/2 réponses · 0P / 0N)</w:t>
      </w:r>
    </w:p>
    <w:p>
      <w:pPr>
        <w:pStyle w:val="Heading3"/>
        <w:spacing w:after="80" w:before="200"/>
      </w:pPr>
      <w:r>
        <w:rPr>
          <w:b/>
          <w:bCs/>
          <w:sz w:val="22"/>
          <w:szCs w:val="22"/>
        </w:rPr>
        <w:t xml:space="preserve">Données manquantes critiques</w:t>
      </w:r>
    </w:p>
    <w:p>
      <w:pPr>
        <w:pStyle w:val="ListParagraph"/>
        <w:numPr>
          <w:ilvl w:val="0"/>
          <w:numId w:val="1"/>
        </w:numPr>
        <w:spacing w:after="60"/>
      </w:pPr>
      <w:r>
        <w:t xml:space="preserve">Sponsor mission non désigné</w:t>
      </w:r>
    </w:p>
    <w:p>
      <w:pPr>
        <w:pStyle w:val="Heading1"/>
        <w:pageBreakBefore/>
        <w:spacing w:after="160" w:before="320"/>
      </w:pPr>
      <w:r>
        <w:rPr>
          <w:b/>
          <w:bCs/>
          <w:color w:val="6366F1"/>
          <w:sz w:val="36"/>
          <w:szCs w:val="36"/>
        </w:rPr>
        <w:t xml:space="preserve">5. Constats par axe</w:t>
      </w:r>
    </w:p>
    <w:p>
      <w:pPr>
        <w:pStyle w:val="Heading2"/>
        <w:spacing w:after="120" w:before="240"/>
      </w:pPr>
      <w:r>
        <w:rPr>
          <w:b/>
          <w:bCs/>
          <w:color w:val="6366F1"/>
          <w:sz w:val="26"/>
          <w:szCs w:val="26"/>
        </w:rPr>
        <w:t xml:space="preserve">Gestion des risques — Gouvernance &amp; pilotage des risques IT/cyber</w:t>
      </w:r>
    </w:p>
    <w:p>
      <w:pPr>
        <w:spacing w:after="120"/>
      </w:pPr>
      <w:r>
        <w:t xml:space="preserve">Le socle de gestion des risques existe (8 réponses Oui sur 12) mais reste fragile sur les points structurants du pilotage. La politique de gestion des risques (RISK01) n'est ni stabilisée ni revue annuellement, ce qui est critique pour un groupe engagé dans une croissance externe et une internationalisation : chaque acquisition ou implantation modifie le périmètre de menace et doit être ré-évaluée formellement. L'analyse de risques ne couvre que partiellement les scénarios stratégiques et opérationnels (RISK04), limitant la capacité à anticiper des attaques ciblées — un enjeu direct compte tenu de l'exposition cybersécurité affichée. L'absence de décision documentée systématique de traitement (RISK07 : réduction, transfert, évitement, acceptation) expose l'entreprise en cas de contrôle de conformité réglementaire, faute de traçabilité des arbitrages. Enfin, le manque de KRI régulièrement reportés à la direction (RISK10) prive le comité de direction d'un pilotage factuel du profil de risque, alors même que la transformation digitale en cours devrait s'accompagner d'un suivi renforcé. Ces quatre écarts, bien que qualifiés de 'Partiel', sont interdépendants et forment un axe de risque élevé à traiter en priorité avant toute nouvelle acquisition ou extension internationale.</w:t>
      </w:r>
    </w:p>
    <w:p>
      <w:pPr>
        <w:pStyle w:val="ListParagraph"/>
        <w:numPr>
          <w:ilvl w:val="0"/>
          <w:numId w:val="1"/>
        </w:numPr>
        <w:spacing w:after="60"/>
      </w:pPr>
      <w:r>
        <w:t xml:space="preserve">RISK01 : politique non revue annuellement</w:t>
      </w:r>
    </w:p>
    <w:p>
      <w:pPr>
        <w:pStyle w:val="ListParagraph"/>
        <w:numPr>
          <w:ilvl w:val="0"/>
          <w:numId w:val="1"/>
        </w:numPr>
        <w:spacing w:after="60"/>
      </w:pPr>
      <w:r>
        <w:t xml:space="preserve">RISK04 : scénarios stratégiques/opérationnels partiellement couverts</w:t>
      </w:r>
    </w:p>
    <w:p>
      <w:pPr>
        <w:pStyle w:val="ListParagraph"/>
        <w:numPr>
          <w:ilvl w:val="0"/>
          <w:numId w:val="1"/>
        </w:numPr>
        <w:spacing w:after="60"/>
      </w:pPr>
      <w:r>
        <w:t xml:space="preserve">RISK07 : décisions de traitement non systématiquement documentées</w:t>
      </w:r>
    </w:p>
    <w:p>
      <w:pPr>
        <w:pStyle w:val="ListParagraph"/>
        <w:numPr>
          <w:ilvl w:val="0"/>
          <w:numId w:val="1"/>
        </w:numPr>
        <w:spacing w:after="60"/>
      </w:pPr>
      <w:r>
        <w:t xml:space="preserve">RISK10 : absence de KRI reportés régulièrement à la direction</w:t>
      </w:r>
    </w:p>
    <w:p>
      <w:pPr>
        <w:pStyle w:val="Heading2"/>
        <w:spacing w:after="120" w:before="240"/>
      </w:pPr>
      <w:r>
        <w:rPr>
          <w:b/>
          <w:bCs/>
          <w:color w:val="6366F1"/>
          <w:sz w:val="26"/>
          <w:szCs w:val="26"/>
        </w:rPr>
        <w:t xml:space="preserve">RGPD — Conformité réglementaire &amp; protection des données</w:t>
      </w:r>
    </w:p>
    <w:p>
      <w:pPr>
        <w:spacing w:after="120"/>
      </w:pPr>
      <w:r>
        <w:t xml:space="preserve">Le socle RGPD est globalement en place (12 Oui sur 16) mais quatre points restent partiels et fragilisent la conformité dans un contexte d'internationalisation et de croissance externe. La politique de protection des données existe mais n'est pas pleinement formalisée ni diffusée à l'ensemble des collaborateurs (RGPD02), ce qui expose en cas d'audit ou de fusion-acquisition où la due diligence RGPD est scrutée. Le suivi des plans d'action issus des DPIA (RGPD06) est incomplet — sans échéances ni vérification effective, le risque résiduel identifié n'est pas maîtrisé, un point critique pour une ETI en transformation digitale multipliant les traitements de données. La politique de confidentialité et le bandeau cookies (RGPD10) ne couvrent pas l'ensemble des traitements, exposition élevée vis-à-vis des utilisateurs et de la CNIL. Enfin, l'encadrement des transferts hors UE/EEE (RGPD14) est partiel post-Schrems II, sujet critique compte tenu de la stratégie d'internationalisation du groupe qui implique probablement des flux de données vers des filiales ou prestataires hors UE. Ces écarts, pris isolément modérés, deviennent élevés à critiques une fois cumulés avec les enjeux de croissance externe (audits d'acquisition) et de cybersécurité (surface de risque transfrontalière).</w:t>
      </w:r>
    </w:p>
    <w:p>
      <w:pPr>
        <w:pStyle w:val="ListParagraph"/>
        <w:numPr>
          <w:ilvl w:val="0"/>
          <w:numId w:val="1"/>
        </w:numPr>
        <w:spacing w:after="60"/>
      </w:pPr>
      <w:r>
        <w:t xml:space="preserve">Politique de protection des données non pleinement formalisée/communiquée</w:t>
      </w:r>
    </w:p>
    <w:p>
      <w:pPr>
        <w:pStyle w:val="ListParagraph"/>
        <w:numPr>
          <w:ilvl w:val="0"/>
          <w:numId w:val="1"/>
        </w:numPr>
        <w:spacing w:after="60"/>
      </w:pPr>
      <w:r>
        <w:t xml:space="preserve">Plan d'action DPIA sans suivi effectif des échéances</w:t>
      </w:r>
    </w:p>
    <w:p>
      <w:pPr>
        <w:pStyle w:val="ListParagraph"/>
        <w:numPr>
          <w:ilvl w:val="0"/>
          <w:numId w:val="1"/>
        </w:numPr>
        <w:spacing w:after="60"/>
      </w:pPr>
      <w:r>
        <w:t xml:space="preserve">Politique de confidentialité incomplète (cookies/traitements)</w:t>
      </w:r>
    </w:p>
    <w:p>
      <w:pPr>
        <w:pStyle w:val="ListParagraph"/>
        <w:numPr>
          <w:ilvl w:val="0"/>
          <w:numId w:val="1"/>
        </w:numPr>
        <w:spacing w:after="60"/>
      </w:pPr>
      <w:r>
        <w:t xml:space="preserve">Transferts hors UE/EEE insuffisamment encadrés post-Schrems II</w:t>
      </w:r>
    </w:p>
    <w:p>
      <w:pPr>
        <w:pStyle w:val="Heading2"/>
        <w:spacing w:after="120" w:before="240"/>
      </w:pPr>
      <w:r>
        <w:rPr>
          <w:b/>
          <w:bCs/>
          <w:color w:val="6366F1"/>
          <w:sz w:val="26"/>
          <w:szCs w:val="26"/>
        </w:rPr>
        <w:t xml:space="preserve">Modern Workplace — Identité, endpoint &amp; continuité d'activité</w:t>
      </w:r>
    </w:p>
    <w:p>
      <w:pPr>
        <w:spacing w:after="120"/>
      </w:pPr>
      <w:r>
        <w:t xml:space="preserve">Le socle Modern Workplace est globalement en place (21 Oui / 28), mais les zones grises se concentrent précisément sur les briques critiques pour un groupe de 300-499 salariés en internationalisation et soumis à conformité réglementaire. Le SSO partiel (MW03) et le MDM/UEM partiel (MW11) signifient qu'une partie du parc et des accès échappe au contrôle centralisé — surface d'attaque élargie, incohérente avec l'enjeu cybersécurité affiché. Le patching sous 30 jours non garanti partout (MW15) et l'absence de solution de visio qualifiée pour les instances sensibles (MW19) exposent le groupe lors d'opérations de croissance externe (due diligence, échanges CA) où la confidentialité est scrutée par les acquéreurs/auditeurs. Le point le plus critique reste la sauvegarde : règle 3-2-1 non respectée (MW23) et RTO/RPO non chiffrés/validés par la direction (MW27) — en cas de ransomware ou sinistre, la continuité d'activité du groupe n'est pas garantie, un risque majeur pour une ETI multi-sites en transformation digitale. Le stockage centralisé partiel (MW07) complète ce tableau : des fichiers encore dispersés fragilisent la gouvernance documentaire nécessaire à la conformité réglementaire et à l'internationalisation.</w:t>
      </w:r>
    </w:p>
    <w:p>
      <w:pPr>
        <w:pStyle w:val="ListParagraph"/>
        <w:numPr>
          <w:ilvl w:val="0"/>
          <w:numId w:val="1"/>
        </w:numPr>
        <w:spacing w:after="60"/>
      </w:pPr>
      <w:r>
        <w:t xml:space="preserve">SSO partiel sur applications SaaS principales (MW03)</w:t>
      </w:r>
    </w:p>
    <w:p>
      <w:pPr>
        <w:pStyle w:val="ListParagraph"/>
        <w:numPr>
          <w:ilvl w:val="0"/>
          <w:numId w:val="1"/>
        </w:numPr>
        <w:spacing w:after="60"/>
      </w:pPr>
      <w:r>
        <w:t xml:space="preserve">MDM/UEM ne couvre pas tous les postes (MW11)</w:t>
      </w:r>
    </w:p>
    <w:p>
      <w:pPr>
        <w:pStyle w:val="ListParagraph"/>
        <w:numPr>
          <w:ilvl w:val="0"/>
          <w:numId w:val="1"/>
        </w:numPr>
        <w:spacing w:after="60"/>
      </w:pPr>
      <w:r>
        <w:t xml:space="preserve">Patchs critiques non garantis sous 30 jours (MW15)</w:t>
      </w:r>
    </w:p>
    <w:p>
      <w:pPr>
        <w:pStyle w:val="ListParagraph"/>
        <w:numPr>
          <w:ilvl w:val="0"/>
          <w:numId w:val="1"/>
        </w:numPr>
        <w:spacing w:after="60"/>
      </w:pPr>
      <w:r>
        <w:t xml:space="preserve">Pas de visio qualifiée pour réunions sensibles (MW19)</w:t>
      </w:r>
    </w:p>
    <w:p>
      <w:pPr>
        <w:pStyle w:val="ListParagraph"/>
        <w:numPr>
          <w:ilvl w:val="0"/>
          <w:numId w:val="1"/>
        </w:numPr>
        <w:spacing w:after="60"/>
      </w:pPr>
      <w:r>
        <w:t xml:space="preserve">Règle 3-2-1 non respectée (MW23)</w:t>
      </w:r>
    </w:p>
    <w:p>
      <w:pPr>
        <w:pStyle w:val="ListParagraph"/>
        <w:numPr>
          <w:ilvl w:val="0"/>
          <w:numId w:val="1"/>
        </w:numPr>
        <w:spacing w:after="60"/>
      </w:pPr>
      <w:r>
        <w:t xml:space="preserve">RTO/RPO non chiffrés ni validés par la direction (MW27)</w:t>
      </w:r>
    </w:p>
    <w:p>
      <w:pPr>
        <w:pStyle w:val="Heading2"/>
        <w:spacing w:after="120" w:before="240"/>
      </w:pPr>
      <w:r>
        <w:rPr>
          <w:b/>
          <w:bCs/>
          <w:color w:val="6366F1"/>
          <w:sz w:val="26"/>
          <w:szCs w:val="26"/>
        </w:rPr>
        <w:t xml:space="preserve">Diag IT N1 — Gouvernance, sécurité &amp; conformité SI</w:t>
      </w:r>
    </w:p>
    <w:p>
      <w:pPr>
        <w:spacing w:after="120"/>
      </w:pPr>
      <w:r>
        <w:t xml:space="preserve">Le socle IT apparaît globalement maîtrisé (21 Oui/26) mais cinq points partiels concentrent l'essentiel du risque au regard des enjeux de cybersécurité, conformité réglementaire et croissance externe. La sauvegarde testée et isolée reste incomplète (Q07) : en cas de sinistre ou de ransomware, la continuité d'activité d'un groupe de 300-499 salariés serait compromise, ce qui est critique. L'absence d'AIPD systématique sur les traitements à risque (Q12) et le doute sur la cartographie annuelle des actifs critiques (Q02) exposent l'entreprise à un risque élevé de non-conformité RGPD, accentué par l'internationalisation. La préparation à la facturation électronique obligatoire de 2026 (Q17) est encore incertaine, un chantier réglementaire structurant à cadrer sans délai. Enfin, la persistance possible de comptes partagés (Q22) fragilise la traçabilité des accès, point sensible en cas d'audit ou d'opération de croissance externe (due diligence IT). Ces signaux, pris ensemble, appellent une revue prioritaire de la résilience des données et de la conformité avant toute nouvelle acquisition ou expansion internationale.</w:t>
      </w:r>
    </w:p>
    <w:p>
      <w:pPr>
        <w:pStyle w:val="ListParagraph"/>
        <w:numPr>
          <w:ilvl w:val="0"/>
          <w:numId w:val="1"/>
        </w:numPr>
        <w:spacing w:after="60"/>
      </w:pPr>
      <w:r>
        <w:t xml:space="preserve">Sauvegardes testées et séparées : partiel (Q07)</w:t>
      </w:r>
    </w:p>
    <w:p>
      <w:pPr>
        <w:pStyle w:val="ListParagraph"/>
        <w:numPr>
          <w:ilvl w:val="0"/>
          <w:numId w:val="1"/>
        </w:numPr>
        <w:spacing w:after="60"/>
      </w:pPr>
      <w:r>
        <w:t xml:space="preserve">AIPD sur traitements à risque : partiel (Q12)</w:t>
      </w:r>
    </w:p>
    <w:p>
      <w:pPr>
        <w:pStyle w:val="ListParagraph"/>
        <w:numPr>
          <w:ilvl w:val="0"/>
          <w:numId w:val="1"/>
        </w:numPr>
        <w:spacing w:after="60"/>
      </w:pPr>
      <w:r>
        <w:t xml:space="preserve">Cartographie annuelle des actifs critiques : partiel (Q02)</w:t>
      </w:r>
    </w:p>
    <w:p>
      <w:pPr>
        <w:pStyle w:val="ListParagraph"/>
        <w:numPr>
          <w:ilvl w:val="0"/>
          <w:numId w:val="1"/>
        </w:numPr>
        <w:spacing w:after="60"/>
      </w:pPr>
      <w:r>
        <w:t xml:space="preserve">Facturation électronique 2026 : préparation incertaine (Q17)</w:t>
      </w:r>
    </w:p>
    <w:p>
      <w:pPr>
        <w:pStyle w:val="ListParagraph"/>
        <w:numPr>
          <w:ilvl w:val="0"/>
          <w:numId w:val="1"/>
        </w:numPr>
        <w:spacing w:after="60"/>
      </w:pPr>
      <w:r>
        <w:t xml:space="preserve">Comptes nominatifs vs comptes partagés : partiel (Q22)</w:t>
      </w:r>
    </w:p>
    <w:p>
      <w:pPr>
        <w:pStyle w:val="Heading2"/>
        <w:spacing w:after="120" w:before="240"/>
      </w:pPr>
      <w:r>
        <w:rPr>
          <w:b/>
          <w:bCs/>
          <w:color w:val="6366F1"/>
          <w:sz w:val="26"/>
          <w:szCs w:val="26"/>
        </w:rPr>
        <w:t xml:space="preserve">Zero Trust — Identité, Appareils &amp; Réseau</w:t>
      </w:r>
    </w:p>
    <w:p>
      <w:pPr>
        <w:spacing w:after="120"/>
      </w:pPr>
      <w:r>
        <w:t xml:space="preserve">Le socle Zero Trust est amorcé mais reste partiel sur les trois piliers Identité, Appareils et Réseau, ce qui fragilise la trajectoire de cybersécurité et de conformité réglementaire du groupe. L'annuaire central existe mais n'est pas exhaustif (ZT01), et l'évaluation dynamique du risque à la connexion (Conditional Access, ZT04) ainsi que l'authentification résistante au phishing sur les comptes sensibles (ZT06) ne sont qu'esquissées — un point critique en contexte d'internationalisation et de croissance externe où les comptes à privilèges et les intégrations tierces se multiplient. L'absence d'outillage complet de séparation des tâches (SoD, ZT09) sur les rôles critiques (paie, paiement, admin SI) expose à un risque de fraude interne, particulièrement sensible lors d'opérations de croissance externe où les processus financiers doivent être audités. Côté Appareils, l'enrôlement MDM/UEM partiel (ZT11), un BYOD encadré de façon incomplète (ZT14) et une PKI non totalement automatisée (ZT16) créent des angles morts sur le parc terminal, difficiles à maîtriser dans une organisation multi-sites en expansion. Enfin, le maintien d'un accès distant hybride VPN/ZTNA (ZT19) signale une transition réseau inachevée, qui limite la granularité du contrôle d'accès attendue par les référentiels de conformité (ISO 27001, NIS2). Ces écarts, bien que qualifiés de « Partiel » et non bloquants isolément, forment un ensemble cohérent de risques à traiter en priorité élevée à critique avant toute nouvelle acquisition ou ouverture internationale.</w:t>
      </w:r>
    </w:p>
    <w:p>
      <w:pPr>
        <w:pStyle w:val="ListParagraph"/>
        <w:numPr>
          <w:ilvl w:val="0"/>
          <w:numId w:val="1"/>
        </w:numPr>
        <w:spacing w:after="60"/>
      </w:pPr>
      <w:r>
        <w:t xml:space="preserve">ZT04 - Conditional Access partiel</w:t>
      </w:r>
    </w:p>
    <w:p>
      <w:pPr>
        <w:pStyle w:val="ListParagraph"/>
        <w:numPr>
          <w:ilvl w:val="0"/>
          <w:numId w:val="1"/>
        </w:numPr>
        <w:spacing w:after="60"/>
      </w:pPr>
      <w:r>
        <w:t xml:space="preserve">ZT06 - MFA résistante au phishing partielle</w:t>
      </w:r>
    </w:p>
    <w:p>
      <w:pPr>
        <w:pStyle w:val="ListParagraph"/>
        <w:numPr>
          <w:ilvl w:val="0"/>
          <w:numId w:val="1"/>
        </w:numPr>
        <w:spacing w:after="60"/>
      </w:pPr>
      <w:r>
        <w:t xml:space="preserve">ZT09 - SoD non outillée sur rôles critiques</w:t>
      </w:r>
    </w:p>
    <w:p>
      <w:pPr>
        <w:pStyle w:val="ListParagraph"/>
        <w:numPr>
          <w:ilvl w:val="0"/>
          <w:numId w:val="1"/>
        </w:numPr>
        <w:spacing w:after="60"/>
      </w:pPr>
      <w:r>
        <w:t xml:space="preserve">ZT19 - Coexistence VPN/ZTNA</w:t>
      </w:r>
    </w:p>
    <w:p>
      <w:pPr>
        <w:pStyle w:val="Heading2"/>
        <w:spacing w:after="120" w:before="240"/>
      </w:pPr>
      <w:r>
        <w:rPr>
          <w:b/>
          <w:bCs/>
          <w:color w:val="6366F1"/>
          <w:sz w:val="26"/>
          <w:szCs w:val="26"/>
        </w:rPr>
        <w:t xml:space="preserve">Diag IT N2 — Cybersécurité &amp; résilience opérationnelle</w:t>
      </w:r>
    </w:p>
    <w:p>
      <w:pPr>
        <w:spacing w:after="120"/>
      </w:pPr>
      <w:r>
        <w:t xml:space="preserve">Le socle de sécurité de Meridian Group présente des failles structurelles qui exposent l'entreprise malgré un taux de conformité apparent correct (43/75 Oui). Le contrôle d'accès reste faible : MFA partiel sur les accès critiques (A16), moindre privilège non appliqué (A20) et revue des comptes prestataires incomplète (A19), ce qui constitue un risque critique compte tenu de l'enjeu cybersécurité et de l'internationalisation (multiplication des accès distants). La détection et la remédiation sont immatures : absence de scans de vulnérabilités (A55), filtrage DNS/web inexistant (A48), Wi-Fi non segmenté (A13) et SIEM/MDR seulement à l'étude (A54), autant de trous dans la chaîne de détection-réaction. La résilience est fragilisée par l'absence de tests de restauration documentés (A41), alors que les sauvegardes SaaS ne sont que partiellement couvertes (A40) — un point critique en cas de sinistre ou de ransomware. Enfin, la conformité RGPD et la culture sécurité sont en retard (A62, A69 non traités), ce qui fragilise la posture face aux exigences réglementaires et aux due diligences attendues dans un contexte de croissance externe. Ces écarts combinés (accès, détection, continuité, sensibilisation) forment un risque cyber élevé à critique, prioritaire avant toute opération de M&amp;A ou extension internationale.</w:t>
      </w:r>
    </w:p>
    <w:p>
      <w:pPr>
        <w:pStyle w:val="ListParagraph"/>
        <w:numPr>
          <w:ilvl w:val="0"/>
          <w:numId w:val="1"/>
        </w:numPr>
        <w:spacing w:after="60"/>
      </w:pPr>
      <w:r>
        <w:t xml:space="preserve">A20 - moindre privilège non appliqué</w:t>
      </w:r>
    </w:p>
    <w:p>
      <w:pPr>
        <w:pStyle w:val="ListParagraph"/>
        <w:numPr>
          <w:ilvl w:val="0"/>
          <w:numId w:val="1"/>
        </w:numPr>
        <w:spacing w:after="60"/>
      </w:pPr>
      <w:r>
        <w:t xml:space="preserve">A55 - pas de scan de vulnérabilités régulier</w:t>
      </w:r>
    </w:p>
    <w:p>
      <w:pPr>
        <w:pStyle w:val="ListParagraph"/>
        <w:numPr>
          <w:ilvl w:val="0"/>
          <w:numId w:val="1"/>
        </w:numPr>
        <w:spacing w:after="60"/>
      </w:pPr>
      <w:r>
        <w:t xml:space="preserve">A41 - tests de restauration non documentés</w:t>
      </w:r>
    </w:p>
    <w:p>
      <w:pPr>
        <w:pStyle w:val="ListParagraph"/>
        <w:numPr>
          <w:ilvl w:val="0"/>
          <w:numId w:val="1"/>
        </w:numPr>
        <w:spacing w:after="60"/>
      </w:pPr>
      <w:r>
        <w:t xml:space="preserve">A48 - filtrage DNS/web absent</w:t>
      </w:r>
    </w:p>
    <w:p>
      <w:pPr>
        <w:pStyle w:val="ListParagraph"/>
        <w:numPr>
          <w:ilvl w:val="0"/>
          <w:numId w:val="1"/>
        </w:numPr>
        <w:spacing w:after="60"/>
      </w:pPr>
      <w:r>
        <w:t xml:space="preserve">A69 - pas de programme de sensibilisation cyber</w:t>
      </w:r>
    </w:p>
    <w:p>
      <w:pPr>
        <w:pStyle w:val="ListParagraph"/>
        <w:numPr>
          <w:ilvl w:val="0"/>
          <w:numId w:val="1"/>
        </w:numPr>
        <w:spacing w:after="60"/>
      </w:pPr>
      <w:r>
        <w:t xml:space="preserve">A34 - SaaS critiques non connectés au SSO</w:t>
      </w:r>
    </w:p>
    <w:p>
      <w:pPr>
        <w:pStyle w:val="Heading2"/>
        <w:spacing w:after="120" w:before="240"/>
      </w:pPr>
      <w:r>
        <w:rPr>
          <w:b/>
          <w:bCs/>
          <w:color w:val="6366F1"/>
          <w:sz w:val="26"/>
          <w:szCs w:val="26"/>
        </w:rPr>
        <w:t xml:space="preserve">Sensibilisation — Sensibilisation &amp; culture cybersécurité (score 7/100)</w:t>
      </w:r>
    </w:p>
    <w:p>
      <w:pPr>
        <w:spacing w:after="120"/>
      </w:pPr>
      <w:r>
        <w:t xml:space="preserve">Le socle de sensibilisation existe mais reste inabouti sur trois points structurants. Le programme n'est que partiellement formalisé (SENS01) : sans calendrier stabilisé, objectifs mesurables ni budget dédié, l'effort risque de rester ponctuel et invérifiable, ce qui fragilise la conformité réglementaire attendue (preuve d'un dispositif structuré) et la posture face aux enjeux cybersécurité. La diffusion de supports variés est également partielle (SENS05) : newsletters, vidéos ou alertes contextuelles ne semblent pas systématiques, ce qui limite l'ancrage des bons réflexes dans la durée, notamment critique pour un groupe en internationalisation où les contextes de risque (phishing, arnaques saisonnières) diffèrent selon les zones. Le sponsoring de la direction générale est lui aussi incomplet (SENS09) : sans portage visible et sans inscription claire dans la politique de sécurité, le programme perd en légitimité auprès des collaborateurs et en cohérence avec la gouvernance, un point sensible dans un contexte de croissance externe où l'intégration rapide de nouvelles entités nécessite un cadre culturel fort et incarné. Ces trois écarts, pris ensemble, traduisent un enjeu de priorité élevée : la sensibilisation est engagée mais pas encore pilotée comme un vrai levier de maîtrise du risque humain, alors que la structure vise transformation digitale et expansion internationale, deux facteurs qui accroissent l'exposition aux attaques ciblant les utilisateurs.</w:t>
      </w:r>
    </w:p>
    <w:p>
      <w:pPr>
        <w:pStyle w:val="ListParagraph"/>
        <w:numPr>
          <w:ilvl w:val="0"/>
          <w:numId w:val="1"/>
        </w:numPr>
        <w:spacing w:after="60"/>
      </w:pPr>
      <w:r>
        <w:t xml:space="preserve">Programme sans budget ni objectifs mesurables (SENS01)</w:t>
      </w:r>
    </w:p>
    <w:p>
      <w:pPr>
        <w:pStyle w:val="ListParagraph"/>
        <w:numPr>
          <w:ilvl w:val="0"/>
          <w:numId w:val="1"/>
        </w:numPr>
        <w:spacing w:after="60"/>
      </w:pPr>
      <w:r>
        <w:t xml:space="preserve">Supports de sensibilisation diffusés de façon irrégulière (SENS05)</w:t>
      </w:r>
    </w:p>
    <w:p>
      <w:pPr>
        <w:pStyle w:val="ListParagraph"/>
        <w:numPr>
          <w:ilvl w:val="0"/>
          <w:numId w:val="1"/>
        </w:numPr>
        <w:spacing w:after="60"/>
      </w:pPr>
      <w:r>
        <w:t xml:space="preserve">Sponsoring direction générale insuffisamment visible (SENS09)</w:t>
      </w:r>
    </w:p>
    <w:p>
      <w:pPr>
        <w:pStyle w:val="Heading2"/>
        <w:spacing w:after="120" w:before="240"/>
      </w:pPr>
      <w:r>
        <w:rPr>
          <w:b/>
          <w:bCs/>
          <w:color w:val="6366F1"/>
          <w:sz w:val="26"/>
          <w:szCs w:val="26"/>
        </w:rPr>
        <w:t xml:space="preserve">Parc IT — Infrastructure &amp; Exploitation</w:t>
      </w:r>
    </w:p>
    <w:p>
      <w:pPr>
        <w:spacing w:after="120"/>
      </w:pPr>
      <w:r>
        <w:t xml:space="preserve">Le parc IT est globalement maîtrisé (9 Oui sur 12) mais trois zones grises fragilisent la trajectoire de Meridian Group. Le plan de renouvellement des postes et serveurs (PARC03) n'est que partiellement formalisé : sans durée de vie cible ni budget prévisionnel documenté, le risque est un vieillissement silencieux du parc et des arbitrages budgétaires subis plutôt qu'anticipés, un point sensible pour une ETI en croissance externe qui devra absorber des parcs hétérogènes lors d'intégrations. Le suivi des contrats de maintenance et garanties (PARC07) est incomplet — échéances et niveaux de support non centralisés — ce qui expose à des ruptures de service ou des délais d'intervention non maîtrisés en cas d'incident, un risque amplifié par l'internationalisation si les SLA diffèrent selon les zones géographiques. Le point le plus critique est le patch management partiel (PARC11) : sans délai formalisé ni suivi du taux de couverture, l'entreprise s'expose à des vulnérabilités non corrigées, un enjeu majeur au regard de la cybersécurité et de la conformité réglementaire (NIS2, exigences clients/partenaires). Priorité : fiabiliser le patch management à court terme (critique), puis structurer le suivi contractuel et le plan de renouvellement (élevé) pour sécuriser les prochaines phases de croissance externe et d'internationalisation.</w:t>
      </w:r>
    </w:p>
    <w:p>
      <w:pPr>
        <w:pStyle w:val="ListParagraph"/>
        <w:numPr>
          <w:ilvl w:val="0"/>
          <w:numId w:val="1"/>
        </w:numPr>
        <w:spacing w:after="60"/>
      </w:pPr>
      <w:r>
        <w:t xml:space="preserve">PARC03: plan de renouvellement partiel, sans budget prévisionnel formalisé</w:t>
      </w:r>
    </w:p>
    <w:p>
      <w:pPr>
        <w:pStyle w:val="ListParagraph"/>
        <w:numPr>
          <w:ilvl w:val="0"/>
          <w:numId w:val="1"/>
        </w:numPr>
        <w:spacing w:after="60"/>
      </w:pPr>
      <w:r>
        <w:t xml:space="preserve">PARC07: contrats de maintenance non centralisés, échéances et SLA à clarifier</w:t>
      </w:r>
    </w:p>
    <w:p>
      <w:pPr>
        <w:pStyle w:val="ListParagraph"/>
        <w:numPr>
          <w:ilvl w:val="0"/>
          <w:numId w:val="1"/>
        </w:numPr>
        <w:spacing w:after="60"/>
      </w:pPr>
      <w:r>
        <w:t xml:space="preserve">PARC11: patch management partiel, délai et taux de couverture non suivis</w:t>
      </w:r>
    </w:p>
    <w:p>
      <w:pPr>
        <w:pStyle w:val="Heading2"/>
        <w:spacing w:after="120" w:before="240"/>
      </w:pPr>
      <w:r>
        <w:rPr>
          <w:b/>
          <w:bCs/>
          <w:color w:val="6366F1"/>
          <w:sz w:val="26"/>
          <w:szCs w:val="26"/>
        </w:rPr>
        <w:t xml:space="preserve">Gouvernance IT — Gouvernance &amp; Pilotage IT</w:t>
      </w:r>
    </w:p>
    <w:p>
      <w:pPr>
        <w:spacing w:after="120"/>
      </w:pPr>
      <w:r>
        <w:t xml:space="preserve">Le pilotage IT de Meridian Group repose sur des bases présentes mais partielles, ce qui fragilise la trajectoire de croissance externe et d'internationalisation visée. Le lien projets/métier existe (GIT02) mais sans business case ni sponsoring systématiques, ce qui expose à des investissements IT mal calibrés lors d'intégrations post-acquisition. Le comité IT fonctionne mais sans formalisation rigoureuse des décisions ni suivi d'actions (GIT04), et la priorisation du portefeuille projets est partagée sans traçabilité complète des arbitrages (GIT12) : en cas de croissance externe rapide, ce flou augmente le risque de conflits de priorités et de dérive budgétaire. L'absence d'un inventaire contractuel IT fiabilisé (GIT07 - SLA, renouvellements, contacts) est un point critique pour la conformité réglementaire et la maîtrise des risques fournisseurs, surtout dans un contexte multi-entités international. Le reporting IT à la direction reste incomplet (GIT09), limitant la visibilité sur la performance et les risques cyber, tandis que la dépendance aux personnes clés IT n'est que partiellement mitigée (GIT14), un risque élevé pour la continuité d'activité en période de transformation digitale intense. Ces six points partiels, bien qu'individuellement modérés, se combinent en un risque élevé de gouvernance dès lors que l'entreprise accélère ses opérations de croissance externe et d'internationalisation.</w:t>
      </w:r>
    </w:p>
    <w:p>
      <w:pPr>
        <w:pStyle w:val="ListParagraph"/>
        <w:numPr>
          <w:ilvl w:val="0"/>
          <w:numId w:val="1"/>
        </w:numPr>
        <w:spacing w:after="60"/>
      </w:pPr>
      <w:r>
        <w:t xml:space="preserve">Business case et sponsor métier non systématiques (GIT02)</w:t>
      </w:r>
    </w:p>
    <w:p>
      <w:pPr>
        <w:pStyle w:val="ListParagraph"/>
        <w:numPr>
          <w:ilvl w:val="0"/>
          <w:numId w:val="1"/>
        </w:numPr>
        <w:spacing w:after="60"/>
      </w:pPr>
      <w:r>
        <w:t xml:space="preserve">Comptes-rendus et suivi d'actions de comité incomplets (GIT04)</w:t>
      </w:r>
    </w:p>
    <w:p>
      <w:pPr>
        <w:pStyle w:val="ListParagraph"/>
        <w:numPr>
          <w:ilvl w:val="0"/>
          <w:numId w:val="1"/>
        </w:numPr>
        <w:spacing w:after="60"/>
      </w:pPr>
      <w:r>
        <w:t xml:space="preserve">Inventaire contrats IT sans SLA/renouvellements fiabilisés (GIT07)</w:t>
      </w:r>
    </w:p>
    <w:p>
      <w:pPr>
        <w:pStyle w:val="ListParagraph"/>
        <w:numPr>
          <w:ilvl w:val="0"/>
          <w:numId w:val="1"/>
        </w:numPr>
        <w:spacing w:after="60"/>
      </w:pPr>
      <w:r>
        <w:t xml:space="preserve">KPIs IT et reporting direction partiels (GIT09)</w:t>
      </w:r>
    </w:p>
    <w:p>
      <w:pPr>
        <w:pStyle w:val="ListParagraph"/>
        <w:numPr>
          <w:ilvl w:val="0"/>
          <w:numId w:val="1"/>
        </w:numPr>
        <w:spacing w:after="60"/>
      </w:pPr>
      <w:r>
        <w:t xml:space="preserve">Arbitrages de priorisation projets non tracés (GIT12)</w:t>
      </w:r>
    </w:p>
    <w:p>
      <w:pPr>
        <w:pStyle w:val="ListParagraph"/>
        <w:numPr>
          <w:ilvl w:val="0"/>
          <w:numId w:val="1"/>
        </w:numPr>
        <w:spacing w:after="60"/>
      </w:pPr>
      <w:r>
        <w:t xml:space="preserve">Dépendance aux personnes clés IT partiellement mitigée (GIT14)</w:t>
      </w:r>
    </w:p>
    <w:p>
      <w:pPr>
        <w:pStyle w:val="Heading2"/>
        <w:spacing w:after="120" w:before="240"/>
      </w:pPr>
      <w:r>
        <w:rPr>
          <w:b/>
          <w:bCs/>
          <w:color w:val="6366F1"/>
          <w:sz w:val="26"/>
          <w:szCs w:val="26"/>
        </w:rPr>
        <w:t xml:space="preserve">IA &amp; Automatisations — Gouvernance &amp; AI Act</w:t>
      </w:r>
    </w:p>
    <w:p>
      <w:pPr>
        <w:spacing w:after="120"/>
      </w:pPr>
      <w:r>
        <w:t xml:space="preserve">Sur seulement deux réponses collectées, le seul signal exploitable concerne la conformité RGPD des traitements IA, jugée partielle : l'analyse de base légale, l'AIPD éventuelle et l'information des personnes concernées ne sont pas pleinement formalisées. Ce point est critique pour TEST_ETI Meridian Group compte tenu de son enjeu de conformité réglementaire affiché et de son ambition d'internationalisation, qui exposera l'entreprise à d'autres régimes de protection des données (RGPD UE, mais aussi référentiels étrangers) et à un risque de sanction ou de blocage commercial en cas de due diligence dans le cadre d'une croissance externe. L'absence de cadrage formel AI Act/RGPD est également un frein direct à la cybersécurité et à la confiance des partenaires ou cibles d'acquisition, qui exigeront des garanties documentées sur la gouvernance des données et de l'IA. Le très faible volume de réponses (2/n) limite la portée du diagnostic global, mais ce point isolé suffit à justifier une priorité élevée : il conditionne la crédibilité de l'entreprise dans ses opérations de M&amp;A et son développement international. Il est recommandé de lancer rapidement un audit RGPD/IA Act ciblé (cartographie des traitements IA, bases légales, AIPD) avant toute extension géographique ou opération de croissance externe.</w:t>
      </w:r>
    </w:p>
    <w:p>
      <w:pPr>
        <w:pStyle w:val="ListParagraph"/>
        <w:numPr>
          <w:ilvl w:val="0"/>
          <w:numId w:val="1"/>
        </w:numPr>
        <w:spacing w:after="60"/>
      </w:pPr>
      <w:r>
        <w:t xml:space="preserve">Analyse RGPD des traitements IA jugée partielle (base légale, AIPD, information)</w:t>
      </w:r>
    </w:p>
    <w:p>
      <w:pPr>
        <w:pStyle w:val="ListParagraph"/>
        <w:numPr>
          <w:ilvl w:val="0"/>
          <w:numId w:val="1"/>
        </w:numPr>
        <w:spacing w:after="60"/>
      </w:pPr>
      <w:r>
        <w:t xml:space="preserve">Réponse pré-remplie depuis diagnostic-express/Q12, à valider spécifiquement</w:t>
      </w:r>
    </w:p>
    <w:p>
      <w:pPr>
        <w:pStyle w:val="ListParagraph"/>
        <w:numPr>
          <w:ilvl w:val="0"/>
          <w:numId w:val="1"/>
        </w:numPr>
        <w:spacing w:after="60"/>
      </w:pPr>
      <w:r>
        <w:t xml:space="preserve">Seulement 2 réponses collectées sur ce diag : couverture très partielle</w:t>
      </w:r>
    </w:p>
    <w:p>
      <w:pPr>
        <w:pStyle w:val="Heading1"/>
        <w:pageBreakBefore/>
        <w:spacing w:after="160" w:before="320"/>
      </w:pPr>
      <w:r>
        <w:rPr>
          <w:b/>
          <w:bCs/>
          <w:color w:val="6366F1"/>
          <w:sz w:val="36"/>
          <w:szCs w:val="36"/>
        </w:rPr>
        <w:t xml:space="preserve">6. Croisement enjeux business / IT</w:t>
      </w:r>
    </w:p>
    <w:p>
      <w:pPr>
        <w:spacing w:after="120"/>
      </w:pPr>
      <w:r>
        <w:t xml:space="preserve">Les cinq enjeux business affichés par Meridian Group (croissance externe, conformité réglementaire, cybersécurité, transformation digitale, internationalisation) ne sont pas indépendants : ils amplifient mutuellement les écarts constatés. La croissance externe expose la gouvernance des risques (politique non stabilisée, KRI absents) et la gouvernance IT (inventaire contractuel non fiabilisé, comité IT peu formalisé) à un test de robustesse immédiat lors de chaque due diligence — un acquéreur ou un auditeur cible précisément ces zones. L'internationalisation, elle, percute directement le RGPD (transferts hors UE/EEE partiels post-Schrems II) et le contrôle d'accès (multiplication des accès distants, VPN/ZTNA hybride, SSO partiel), deux sujets où le socle actuel n'est pas prêt à absorber une expansion géographique sans risque de sanction ou de brèche.</w:t>
      </w:r>
    </w:p>
    <w:p>
      <w:pPr>
        <w:spacing w:after="120"/>
      </w:pPr>
      <w:r>
        <w:t xml:space="preserve">La cybersécurité, enjeu transverse par excellence, cristallise les faiblesses des autres axes : résilience des données insuffisante (sauvegardes, RTO/RPO), détection immature, sensibilisation quasi nulle et Zero Trust inachevé forment un ensemble cohérent qui, en cas d'incident majeur, impacterait simultanément la conformité réglementaire (obligations de notification NIS2/RGPD), la confiance des clients exigeant l'ISO 27001, et la valorisation de l'entreprise dans une logique de croissance externe. La transformation digitale, enfin, agit comme un multiplicateur de risque tant qu'elle n'est pas encadrée par une gouvernance IA/RGPD solide : chaque nouveau traitement automatisé ou projet digital ajoute de la surface d'exposition sans les garde-fous de base légale, d'AIPD et d'information des personnes concernées.</w:t>
      </w:r>
    </w:p>
    <w:p>
      <w:pPr>
        <w:pStyle w:val="Heading1"/>
        <w:pageBreakBefore/>
        <w:spacing w:after="160" w:before="320"/>
      </w:pPr>
      <w:r>
        <w:rPr>
          <w:b/>
          <w:bCs/>
          <w:color w:val="6366F1"/>
          <w:sz w:val="36"/>
          <w:szCs w:val="36"/>
        </w:rPr>
        <w:t xml:space="preserve">7. Risques prioritaires</w:t>
      </w:r>
    </w:p>
    <w:p>
      <w:pPr>
        <w:pStyle w:val="Heading2"/>
        <w:spacing w:after="120" w:before="240"/>
      </w:pPr>
      <w:r>
        <w:rPr>
          <w:b/>
          <w:bCs/>
          <w:color w:val="6366F1"/>
          <w:sz w:val="26"/>
          <w:szCs w:val="26"/>
        </w:rPr>
        <w:t xml:space="preserve">7.b Lecture consolidée</w:t>
      </w:r>
    </w:p>
    <w:p>
      <w:pPr>
        <w:spacing w:after="120"/>
      </w:pPr>
      <w:r>
        <w:t xml:space="preserve">1) Rupture de continuité d'activité en cas de ransomware ou sinistre majeur, faute de sauvegardes 3-2-1 fiables et de RTO/RPO validés — risque critique et immédiat. 2) Compromission par élévation de privilèges ou fraude interne, du fait d'un MFA partiel, de comptes partagés et d'une séparation des tâches insuffisante sur les rôles sensibles (paie, paiement, admin SI) — risque critique amplifié par l'internationalisation. 3) Non-conformité RGPD/AI Act détectée lors d'une due diligence d'acquisition (transferts hors UE non encadrés, DPIA incomplètes, IA non cadrée), pouvant bloquer ou dévaloriser une opération de croissance externe — risque élevé à critique. 4) Incapacité de détection et de réaction rapide à un incident cyber (absence de scans de vulnérabilités, filtrage DNS/web, SIEM/MDR à l'étude), qui prolongerait la durée et l'impact d'une attaque — risque élevé. 5) Dérive de gouvernance et de pilotage lors d'une accélération de la croissance externe (absence de KRI, d'inventaire contractuel fiabilisé et de reporting IT structuré), engendrant des décisions non tracées et des risques fournisseurs non maîtrisés — risque élevé.</w:t>
      </w:r>
    </w:p>
    <w:p>
      <w:pPr>
        <w:pStyle w:val="Heading1"/>
        <w:pageBreakBefore/>
        <w:spacing w:after="160" w:before="320"/>
      </w:pPr>
      <w:r>
        <w:rPr>
          <w:b/>
          <w:bCs/>
          <w:color w:val="6366F1"/>
          <w:sz w:val="36"/>
          <w:szCs w:val="36"/>
        </w:rPr>
        <w:t xml:space="preserve">8. Plan d'action 30 / 60 / 90 jours</w:t>
      </w:r>
    </w:p>
    <w:p>
      <w:pPr>
        <w:pStyle w:val="Heading2"/>
        <w:spacing w:after="120" w:before="240"/>
      </w:pPr>
      <w:r>
        <w:rPr>
          <w:b/>
          <w:bCs/>
          <w:color w:val="6366F1"/>
          <w:sz w:val="26"/>
          <w:szCs w:val="26"/>
        </w:rPr>
        <w:t xml:space="preserve">Horizon 30j (5 actions)</w:t>
      </w:r>
    </w:p>
    <w:p>
      <w:pPr>
        <w:spacing w:after="40" w:before="120"/>
      </w:pPr>
      <w:r>
        <w:rPr>
          <w:b/>
          <w:bCs/>
          <w:color w:val="6366F1"/>
        </w:rPr>
        <w:t xml:space="preserve">Sécuriser la résilience des données : sauvegarde 3-2-1, tests de restauration documentés, RTO/RPO validés par la direction</w:t>
      </w:r>
      <w:r>
        <w:rPr>
          <w:b/>
          <w:bCs/>
          <w:color w:val="FFFFFF"/>
          <w:highlight w:val="red"/>
          <w:highlightCs w:val="red"/>
        </w:rPr>
        <w:t xml:space="preserve"> [Critique] </w:t>
      </w:r>
    </w:p>
    <w:p>
      <w:pPr>
        <w:spacing w:after="40"/>
      </w:pPr>
      <w:r>
        <w:rPr>
          <w:i/>
          <w:iCs/>
          <w:color w:val="475569"/>
          <w:sz w:val="18"/>
          <w:szCs w:val="18"/>
        </w:rPr>
        <w:t xml:space="preserve">Axe : Résilience &amp; continuité d'activité  ·  Source : modern-workplace</w:t>
      </w:r>
    </w:p>
    <w:p>
      <w:pPr>
        <w:spacing w:after="120"/>
      </w:pPr>
      <w:r>
        <w:t xml:space="preserve">Absence de garantie de continuité d'activité en cas de ransomware ou sinistre, risque majeur pour un groupe multi-sites en pleine transformation digitale et croissance externe.</w:t>
      </w:r>
    </w:p>
    <w:p>
      <w:pPr>
        <w:spacing w:after="40" w:before="120"/>
      </w:pPr>
      <w:r>
        <w:rPr>
          <w:b/>
          <w:bCs/>
          <w:color w:val="6366F1"/>
        </w:rPr>
        <w:t xml:space="preserve">Généraliser le MFA sur les accès critiques, supprimer les comptes partagés, relancer la revue des comptes prestataires</w:t>
      </w:r>
      <w:r>
        <w:rPr>
          <w:b/>
          <w:bCs/>
          <w:color w:val="FFFFFF"/>
          <w:highlight w:val="red"/>
          <w:highlightCs w:val="red"/>
        </w:rPr>
        <w:t xml:space="preserve"> [Critique] </w:t>
      </w:r>
    </w:p>
    <w:p>
      <w:pPr>
        <w:spacing w:after="40"/>
      </w:pPr>
      <w:r>
        <w:rPr>
          <w:i/>
          <w:iCs/>
          <w:color w:val="475569"/>
          <w:sz w:val="18"/>
          <w:szCs w:val="18"/>
        </w:rPr>
        <w:t xml:space="preserve">Axe : Contrôle d'accès &amp; identité  ·  Source : diagnostic-avance</w:t>
      </w:r>
    </w:p>
    <w:p>
      <w:pPr>
        <w:spacing w:after="120"/>
      </w:pPr>
      <w:r>
        <w:t xml:space="preserve">Failles de contrôle d'accès critiques (MFA partiel, moindre privilège non appliqué) exposant le groupe à une compromission facilitée, aggravée par la multiplication des accès distants liée à l'internationalisation.</w:t>
      </w:r>
    </w:p>
    <w:p>
      <w:pPr>
        <w:spacing w:after="40" w:before="120"/>
      </w:pPr>
      <w:r>
        <w:rPr>
          <w:b/>
          <w:bCs/>
          <w:color w:val="6366F1"/>
        </w:rPr>
        <w:t xml:space="preserve">Formaliser le patch management (délai cible, taux de couverture suivi) sur postes et serveurs</w:t>
      </w:r>
      <w:r>
        <w:rPr>
          <w:b/>
          <w:bCs/>
          <w:color w:val="FFFFFF"/>
          <w:highlight w:val="red"/>
          <w:highlightCs w:val="red"/>
        </w:rPr>
        <w:t xml:space="preserve"> [Critique] </w:t>
      </w:r>
    </w:p>
    <w:p>
      <w:pPr>
        <w:spacing w:after="40"/>
      </w:pPr>
      <w:r>
        <w:rPr>
          <w:i/>
          <w:iCs/>
          <w:color w:val="475569"/>
          <w:sz w:val="18"/>
          <w:szCs w:val="18"/>
        </w:rPr>
        <w:t xml:space="preserve">Axe : Infrastructure &amp; exploitation  ·  Source : diagnostic-parc-it</w:t>
      </w:r>
    </w:p>
    <w:p>
      <w:pPr>
        <w:spacing w:after="120"/>
      </w:pPr>
      <w:r>
        <w:t xml:space="preserve">Absence de délai formalisé et de suivi expose à des vulnérabilités non corrigées, enjeu majeur au regard de NIS2 et des exigences clients ISO 27001.</w:t>
      </w:r>
    </w:p>
    <w:p>
      <w:pPr>
        <w:spacing w:after="40" w:before="120"/>
      </w:pPr>
      <w:r>
        <w:rPr>
          <w:b/>
          <w:bCs/>
          <w:color w:val="6366F1"/>
        </w:rPr>
        <w:t xml:space="preserve">Lancer un audit RGPD/AI Act ciblé sur les traitements IA (cartographie, bases légales, AIPD)</w:t>
      </w:r>
      <w:r>
        <w:rPr>
          <w:b/>
          <w:bCs/>
          <w:color w:val="FFFFFF"/>
          <w:highlight w:val="red"/>
          <w:highlightCs w:val="red"/>
        </w:rPr>
        <w:t xml:space="preserve"> [Critique] </w:t>
      </w:r>
    </w:p>
    <w:p>
      <w:pPr>
        <w:spacing w:after="40"/>
      </w:pPr>
      <w:r>
        <w:rPr>
          <w:i/>
          <w:iCs/>
          <w:color w:val="475569"/>
          <w:sz w:val="18"/>
          <w:szCs w:val="18"/>
        </w:rPr>
        <w:t xml:space="preserve">Axe : Conformité réglementaire &amp; IA  ·  Source : diagnostic-auto-ia</w:t>
      </w:r>
    </w:p>
    <w:p>
      <w:pPr>
        <w:spacing w:after="120"/>
      </w:pPr>
      <w:r>
        <w:t xml:space="preserve">Absence de cadrage formel conditionnant la crédibilité du groupe lors de due diligences M&amp;A et son développement international.</w:t>
      </w:r>
    </w:p>
    <w:p>
      <w:pPr>
        <w:spacing w:after="40" w:before="120"/>
      </w:pPr>
      <w:r>
        <w:rPr>
          <w:b/>
          <w:bCs/>
          <w:color w:val="6366F1"/>
        </w:rPr>
        <w:t xml:space="preserve">Encadrer formellement les transferts de données hors UE/EEE (clauses contractuelles types, analyse Schrems II)</w:t>
      </w:r>
      <w:r>
        <w:rPr>
          <w:b/>
          <w:bCs/>
          <w:color w:val="FFFFFF"/>
          <w:highlight w:val="red"/>
          <w:highlightCs w:val="red"/>
        </w:rPr>
        <w:t xml:space="preserve"> [Critique] </w:t>
      </w:r>
    </w:p>
    <w:p>
      <w:pPr>
        <w:spacing w:after="40"/>
      </w:pPr>
      <w:r>
        <w:rPr>
          <w:i/>
          <w:iCs/>
          <w:color w:val="475569"/>
          <w:sz w:val="18"/>
          <w:szCs w:val="18"/>
        </w:rPr>
        <w:t xml:space="preserve">Axe : Conformité réglementaire RGPD  ·  Source : diagnostic-rgpd</w:t>
      </w:r>
    </w:p>
    <w:p>
      <w:pPr>
        <w:spacing w:after="120"/>
      </w:pPr>
      <w:r>
        <w:t xml:space="preserve">Sujet critique compte tenu de la stratégie d'internationalisation impliquant des flux vers des filiales ou prestataires hors UE.</w:t>
      </w:r>
    </w:p>
    <w:p>
      <w:pPr>
        <w:pStyle w:val="Heading2"/>
        <w:spacing w:after="120" w:before="240"/>
      </w:pPr>
      <w:r>
        <w:rPr>
          <w:b/>
          <w:bCs/>
          <w:color w:val="6366F1"/>
          <w:sz w:val="26"/>
          <w:szCs w:val="26"/>
        </w:rPr>
        <w:t xml:space="preserve">Horizon 60j (4 actions)</w:t>
      </w:r>
    </w:p>
    <w:p>
      <w:pPr>
        <w:spacing w:after="40" w:before="120"/>
      </w:pPr>
      <w:r>
        <w:rPr>
          <w:b/>
          <w:bCs/>
          <w:color w:val="6366F1"/>
        </w:rPr>
        <w:t xml:space="preserve">Structurer le pilotage des risques : politique révisée annuellement, décisions de traitement documentées, KRI reportés en comité de direction</w:t>
      </w:r>
      <w:r>
        <w:rPr>
          <w:b/>
          <w:bCs/>
          <w:color w:val="FFFFFF"/>
          <w:highlight w:val="yellow"/>
          <w:highlightCs w:val="yellow"/>
        </w:rPr>
        <w:t xml:space="preserve"> [Élevé] </w:t>
      </w:r>
    </w:p>
    <w:p>
      <w:pPr>
        <w:spacing w:after="40"/>
      </w:pPr>
      <w:r>
        <w:rPr>
          <w:i/>
          <w:iCs/>
          <w:color w:val="475569"/>
          <w:sz w:val="18"/>
          <w:szCs w:val="18"/>
        </w:rPr>
        <w:t xml:space="preserve">Axe : Gouvernance &amp; pilotage des risques  ·  Source : diagnostic-gestion-risques</w:t>
      </w:r>
    </w:p>
    <w:p>
      <w:pPr>
        <w:spacing w:after="120"/>
      </w:pPr>
      <w:r>
        <w:t xml:space="preserve">Sans pilotage factuel du profil de risque, chaque acquisition ou implantation modifie le périmètre de menace sans ré-évaluation formelle, risque élevé avant toute nouvelle opération.</w:t>
      </w:r>
    </w:p>
    <w:p>
      <w:pPr>
        <w:spacing w:after="40" w:before="120"/>
      </w:pPr>
      <w:r>
        <w:rPr>
          <w:b/>
          <w:bCs/>
          <w:color w:val="6366F1"/>
        </w:rPr>
        <w:t xml:space="preserve">Fiabiliser l'inventaire contractuel IT (SLA, renouvellements, contacts) et le reporting IT à la direction</w:t>
      </w:r>
      <w:r>
        <w:rPr>
          <w:b/>
          <w:bCs/>
          <w:color w:val="FFFFFF"/>
          <w:highlight w:val="yellow"/>
          <w:highlightCs w:val="yellow"/>
        </w:rPr>
        <w:t xml:space="preserve"> [Élevé] </w:t>
      </w:r>
    </w:p>
    <w:p>
      <w:pPr>
        <w:spacing w:after="40"/>
      </w:pPr>
      <w:r>
        <w:rPr>
          <w:i/>
          <w:iCs/>
          <w:color w:val="475569"/>
          <w:sz w:val="18"/>
          <w:szCs w:val="18"/>
        </w:rPr>
        <w:t xml:space="preserve">Axe : Gouvernance &amp; pilotage IT  ·  Source : diagnostic-gouvernance-it</w:t>
      </w:r>
    </w:p>
    <w:p>
      <w:pPr>
        <w:spacing w:after="120"/>
      </w:pPr>
      <w:r>
        <w:t xml:space="preserve">Absence d'inventaire fiabilisé et de reporting complet limite la maîtrise des risques fournisseurs et la visibilité sur la performance/risques cyber en contexte multi-entités.</w:t>
      </w:r>
    </w:p>
    <w:p>
      <w:pPr>
        <w:spacing w:after="40" w:before="120"/>
      </w:pPr>
      <w:r>
        <w:rPr>
          <w:b/>
          <w:bCs/>
          <w:color w:val="6366F1"/>
        </w:rPr>
        <w:t xml:space="preserve">Renforcer la chaîne de détection-réaction : scans de vulnérabilités, filtrage DNS/web, segmentation Wi-Fi, accélérer le déploiement SIEM/MDR</w:t>
      </w:r>
      <w:r>
        <w:rPr>
          <w:b/>
          <w:bCs/>
          <w:color w:val="FFFFFF"/>
          <w:highlight w:val="yellow"/>
          <w:highlightCs w:val="yellow"/>
        </w:rPr>
        <w:t xml:space="preserve"> [Élevé] </w:t>
      </w:r>
    </w:p>
    <w:p>
      <w:pPr>
        <w:spacing w:after="40"/>
      </w:pPr>
      <w:r>
        <w:rPr>
          <w:i/>
          <w:iCs/>
          <w:color w:val="475569"/>
          <w:sz w:val="18"/>
          <w:szCs w:val="18"/>
        </w:rPr>
        <w:t xml:space="preserve">Axe : Cybersécurité &amp; résilience opérationnelle  ·  Source : diagnostic-avance</w:t>
      </w:r>
    </w:p>
    <w:p>
      <w:pPr>
        <w:spacing w:after="120"/>
      </w:pPr>
      <w:r>
        <w:t xml:space="preserve">Détection immature créant des angles morts majeurs dans la chaîne de réaction aux incidents, incompatible avec l'exposition cyber affichée du groupe.</w:t>
      </w:r>
    </w:p>
    <w:p>
      <w:pPr>
        <w:spacing w:after="40" w:before="120"/>
      </w:pPr>
      <w:r>
        <w:rPr>
          <w:b/>
          <w:bCs/>
          <w:color w:val="6366F1"/>
        </w:rPr>
        <w:t xml:space="preserve">Structurer le programme de sensibilisation avec sponsoring direction visible et supports diversifiés récurrents</w:t>
      </w:r>
      <w:r>
        <w:rPr>
          <w:b/>
          <w:bCs/>
          <w:color w:val="FFFFFF"/>
          <w:highlight w:val="yellow"/>
          <w:highlightCs w:val="yellow"/>
        </w:rPr>
        <w:t xml:space="preserve"> [Élevé] </w:t>
      </w:r>
    </w:p>
    <w:p>
      <w:pPr>
        <w:spacing w:after="40"/>
      </w:pPr>
      <w:r>
        <w:rPr>
          <w:i/>
          <w:iCs/>
          <w:color w:val="475569"/>
          <w:sz w:val="18"/>
          <w:szCs w:val="18"/>
        </w:rPr>
        <w:t xml:space="preserve">Axe : Sensibilisation &amp; culture cybersécurité  ·  Source : diagnostic-sensibilisation</w:t>
      </w:r>
    </w:p>
    <w:p>
      <w:pPr>
        <w:spacing w:after="120"/>
      </w:pPr>
      <w:r>
        <w:t xml:space="preserve">Score de 7/100 et absence de portage direction fragilisent la maîtrise du risque humain, alors que la transformation digitale et l'internationalisation accroissent l'exposition aux attaques ciblées.</w:t>
      </w:r>
    </w:p>
    <w:p>
      <w:pPr>
        <w:pStyle w:val="Heading2"/>
        <w:spacing w:after="120" w:before="240"/>
      </w:pPr>
      <w:r>
        <w:rPr>
          <w:b/>
          <w:bCs/>
          <w:color w:val="6366F1"/>
          <w:sz w:val="26"/>
          <w:szCs w:val="26"/>
        </w:rPr>
        <w:t xml:space="preserve">Horizon 90j (3 actions)</w:t>
      </w:r>
    </w:p>
    <w:p>
      <w:pPr>
        <w:spacing w:after="40" w:before="120"/>
      </w:pPr>
      <w:r>
        <w:rPr>
          <w:b/>
          <w:bCs/>
          <w:color w:val="6366F1"/>
        </w:rPr>
        <w:t xml:space="preserve">Accélérer la trajectoire Zero Trust : Conditional Access, authentification résistante au phishing sur comptes sensibles, SoD sur rôles critiques, bascule ZTNA</w:t>
      </w:r>
      <w:r>
        <w:rPr>
          <w:b/>
          <w:bCs/>
          <w:color w:val="FFFFFF"/>
          <w:highlight w:val="yellow"/>
          <w:highlightCs w:val="yellow"/>
        </w:rPr>
        <w:t xml:space="preserve"> [Élevé] </w:t>
      </w:r>
    </w:p>
    <w:p>
      <w:pPr>
        <w:spacing w:after="40"/>
      </w:pPr>
      <w:r>
        <w:rPr>
          <w:i/>
          <w:iCs/>
          <w:color w:val="475569"/>
          <w:sz w:val="18"/>
          <w:szCs w:val="18"/>
        </w:rPr>
        <w:t xml:space="preserve">Axe : Identité, Appareils &amp; Réseau  ·  Source : diagnostic-zero-trust</w:t>
      </w:r>
    </w:p>
    <w:p>
      <w:pPr>
        <w:spacing w:after="120"/>
      </w:pPr>
      <w:r>
        <w:t xml:space="preserve">Transition Zero Trust inachevée sur les trois piliers, limitant la granularité de contrôle d'accès attendue par NIS2 et ISO 27001, critique avant toute nouvelle acquisition.</w:t>
      </w:r>
    </w:p>
    <w:p>
      <w:pPr>
        <w:spacing w:after="40" w:before="120"/>
      </w:pPr>
      <w:r>
        <w:rPr>
          <w:b/>
          <w:bCs/>
          <w:color w:val="6366F1"/>
        </w:rPr>
        <w:t xml:space="preserve">Formaliser le plan de renouvellement du parc (durée de vie cible, budget prévisionnel) et centraliser le suivi des contrats de maintenance</w:t>
      </w:r>
      <w:r>
        <w:rPr>
          <w:b/>
          <w:bCs/>
          <w:color w:val="FFFFFF"/>
          <w:highlight w:val="cyan"/>
          <w:highlightCs w:val="cyan"/>
        </w:rPr>
        <w:t xml:space="preserve"> [Modéré] </w:t>
      </w:r>
    </w:p>
    <w:p>
      <w:pPr>
        <w:spacing w:after="40"/>
      </w:pPr>
      <w:r>
        <w:rPr>
          <w:i/>
          <w:iCs/>
          <w:color w:val="475569"/>
          <w:sz w:val="18"/>
          <w:szCs w:val="18"/>
        </w:rPr>
        <w:t xml:space="preserve">Axe : Infrastructure &amp; exploitation  ·  Source : diagnostic-parc-it</w:t>
      </w:r>
    </w:p>
    <w:p>
      <w:pPr>
        <w:spacing w:after="120"/>
      </w:pPr>
      <w:r>
        <w:t xml:space="preserve">Anticiper l'absorption de parcs hétérogènes lors de futures intégrations et sécuriser les SLA dans un contexte multi-géographique.</w:t>
      </w:r>
    </w:p>
    <w:p>
      <w:pPr>
        <w:spacing w:after="40" w:before="120"/>
      </w:pPr>
      <w:r>
        <w:rPr>
          <w:b/>
          <w:bCs/>
          <w:color w:val="6366F1"/>
        </w:rPr>
        <w:t xml:space="preserve">Cadrer le projet de facturation électronique obligatoire 2026</w:t>
      </w:r>
      <w:r>
        <w:rPr>
          <w:b/>
          <w:bCs/>
          <w:color w:val="FFFFFF"/>
          <w:highlight w:val="cyan"/>
          <w:highlightCs w:val="cyan"/>
        </w:rPr>
        <w:t xml:space="preserve"> [Modéré] </w:t>
      </w:r>
    </w:p>
    <w:p>
      <w:pPr>
        <w:spacing w:after="40"/>
      </w:pPr>
      <w:r>
        <w:rPr>
          <w:i/>
          <w:iCs/>
          <w:color w:val="475569"/>
          <w:sz w:val="18"/>
          <w:szCs w:val="18"/>
        </w:rPr>
        <w:t xml:space="preserve">Axe : Conformité réglementaire  ·  Source : diagnostic-express</w:t>
      </w:r>
    </w:p>
    <w:p>
      <w:pPr>
        <w:spacing w:after="120"/>
      </w:pPr>
      <w:r>
        <w:t xml:space="preserve">Chantier réglementaire structurant encore incertain, à planifier sans délai pour éviter un effet tunnel en fin d'échéance légale.</w:t>
      </w:r>
    </w:p>
    <w:p>
      <w:pPr>
        <w:pStyle w:val="Heading1"/>
        <w:pageBreakBefore/>
        <w:spacing w:after="160" w:before="320"/>
      </w:pPr>
      <w:r>
        <w:rPr>
          <w:b/>
          <w:bCs/>
          <w:color w:val="6366F1"/>
          <w:sz w:val="36"/>
          <w:szCs w:val="36"/>
        </w:rPr>
        <w:t xml:space="preserve">9. Recommandation de cadrage</w:t>
      </w:r>
    </w:p>
    <w:p>
      <w:pPr>
        <w:spacing w:after="120"/>
      </w:pPr>
      <w:r>
        <w:t xml:space="preserve">Il est recommandé de séquencer la remédiation en trois vagues resserrées (30/60/90 jours) en donnant la priorité absolue à la résilience des données, au contrôle d'accès et au cadrage RGPD/IA, ces trois chantiers conditionnant à la fois la capacité du groupe à encaisser un incident cyber et sa crédibilité lors des due diligences d'acquisition ou d'expansion internationale ; en parallèle, un chantier de gouvernance (pilotage des risques, inventaire contractuel, reporting IT) doit être engagé dès le mois 2 pour que les futures opérations de croissance externe s'appuient sur un cadre de décision tracé et non sur des arbitrages informels, condition indispensable pour tenir le rythme de développement visé sans subir un effet de rattrapage coûteux post-acquisition.</w:t>
      </w:r>
    </w:p>
    <w:p>
      <w:pPr>
        <w:pStyle w:val="Heading1"/>
        <w:pageBreakBefore/>
        <w:spacing w:after="160" w:before="320"/>
      </w:pPr>
      <w:r>
        <w:rPr>
          <w:b/>
          <w:bCs/>
          <w:color w:val="6366F1"/>
          <w:sz w:val="36"/>
          <w:szCs w:val="36"/>
        </w:rPr>
        <w:t xml:space="preserve">10. Liens avec les livrables existants</w:t>
      </w:r>
    </w:p>
    <w:p>
      <w:pPr>
        <w:pStyle w:val="ListParagraph"/>
        <w:numPr>
          <w:ilvl w:val="0"/>
          <w:numId w:val="1"/>
        </w:numPr>
        <w:spacing w:after="60"/>
      </w:pPr>
      <w:r>
        <w:t xml:space="preserve">Mini-audit MA-TEST-ETI-001-cmq11v — statut : delivered · score 65/100</w:t>
      </w:r>
    </w:p>
    <w:p>
      <w:pPr>
        <w:pStyle w:val="ListParagraph"/>
        <w:numPr>
          <w:ilvl w:val="0"/>
          <w:numId w:val="1"/>
        </w:numPr>
        <w:spacing w:after="60"/>
      </w:pPr>
      <w:r>
        <w:t xml:space="preserve">SOW STEL-DEMO-ETI-cmq11v — type : initial · statut : accepted</w:t>
      </w:r>
    </w:p>
    <w:p>
      <w:pPr>
        <w:pStyle w:val="Heading1"/>
        <w:pageBreakBefore/>
        <w:spacing w:after="160" w:before="320"/>
      </w:pPr>
      <w:r>
        <w:rPr>
          <w:b/>
          <w:bCs/>
          <w:color w:val="6366F1"/>
          <w:sz w:val="36"/>
          <w:szCs w:val="36"/>
        </w:rPr>
        <w:t xml:space="preserve">Annexe A — À propos de Cabinet Démo</w:t>
      </w:r>
    </w:p>
    <w:p>
      <w:pPr>
        <w:spacing w:after="120"/>
      </w:pPr>
      <w:r>
        <w:rPr>
          <w:i/>
          <w:iCs/>
          <w:color w:val="475569"/>
        </w:rPr>
        <w:t xml:space="preserve">DSI à temps partagé pour PME et ETI</w:t>
      </w:r>
    </w:p>
    <w:p>
      <w:pPr>
        <w:pStyle w:val="Heading2"/>
        <w:spacing w:after="120" w:before="240"/>
      </w:pPr>
      <w:r>
        <w:rPr>
          <w:b/>
          <w:bCs/>
          <w:color w:val="6366F1"/>
          <w:sz w:val="26"/>
          <w:szCs w:val="26"/>
        </w:rPr>
        <w:t xml:space="preserve">Notre rôle — 4 verbes</w:t>
      </w:r>
    </w:p>
    <w:p>
      <w:pPr>
        <w:pStyle w:val="ListParagraph"/>
        <w:numPr>
          <w:ilvl w:val="0"/>
          <w:numId w:val="1"/>
        </w:numPr>
        <w:spacing w:after="60"/>
      </w:pPr>
      <w:r>
        <w:rPr>
          <w:b/>
          <w:bCs/>
        </w:rPr>
        <w:t xml:space="preserve">Analyser — </w:t>
      </w:r>
      <w:r>
        <w:t xml:space="preserve">Lire la situation IT au regard des enjeux business du dirigeant, sans jargon ni biais éditeur.</w:t>
      </w:r>
    </w:p>
    <w:p>
      <w:pPr>
        <w:pStyle w:val="ListParagraph"/>
        <w:numPr>
          <w:ilvl w:val="0"/>
          <w:numId w:val="1"/>
        </w:numPr>
        <w:spacing w:after="60"/>
      </w:pPr>
      <w:r>
        <w:rPr>
          <w:b/>
          <w:bCs/>
        </w:rPr>
        <w:t xml:space="preserve">Piloter — </w:t>
      </w:r>
      <w:r>
        <w:t xml:space="preserve">Tenir le cap des chantiers IT (sécurité, conformité, projets) sans se substituer aux équipes opérationnelles.</w:t>
      </w:r>
    </w:p>
    <w:p>
      <w:pPr>
        <w:pStyle w:val="ListParagraph"/>
        <w:numPr>
          <w:ilvl w:val="0"/>
          <w:numId w:val="1"/>
        </w:numPr>
        <w:spacing w:after="60"/>
      </w:pPr>
      <w:r>
        <w:rPr>
          <w:b/>
          <w:bCs/>
        </w:rPr>
        <w:t xml:space="preserve">Arbitrer — </w:t>
      </w:r>
      <w:r>
        <w:t xml:space="preserve">Choisir entre options techniques, contractuelles ou financières sur la base de critères objectifs et tracés.</w:t>
      </w:r>
    </w:p>
    <w:p>
      <w:pPr>
        <w:pStyle w:val="ListParagraph"/>
        <w:numPr>
          <w:ilvl w:val="0"/>
          <w:numId w:val="1"/>
        </w:numPr>
        <w:spacing w:after="60"/>
      </w:pPr>
      <w:r>
        <w:rPr>
          <w:b/>
          <w:bCs/>
        </w:rPr>
        <w:t xml:space="preserve">Restituer — </w:t>
      </w:r>
      <w:r>
        <w:t xml:space="preserve">Rendre compte au dirigeant en langage de décision : décisions à prendre, risques, budgets, jalons.</w:t>
      </w:r>
    </w:p>
    <w:p>
      <w:pPr>
        <w:pStyle w:val="Heading2"/>
        <w:spacing w:after="120" w:before="240"/>
      </w:pPr>
      <w:r>
        <w:rPr>
          <w:b/>
          <w:bCs/>
          <w:color w:val="6366F1"/>
          <w:sz w:val="26"/>
          <w:szCs w:val="26"/>
        </w:rPr>
        <w:t xml:space="preserve">Frontière MOA / MOE</w:t>
      </w:r>
    </w:p>
    <w:p>
      <w:pPr>
        <w:spacing w:after="80"/>
      </w:pPr>
      <w:r>
        <w:rPr>
          <w:b/>
          <w:bCs/>
        </w:rPr>
        <w:t xml:space="preserve">Ce que nous faisons :</w:t>
      </w:r>
    </w:p>
    <w:p>
      <w:pPr>
        <w:pStyle w:val="ListParagraph"/>
        <w:numPr>
          <w:ilvl w:val="0"/>
          <w:numId w:val="1"/>
        </w:numPr>
        <w:spacing w:after="60"/>
      </w:pPr>
      <w:r>
        <w:t xml:space="preserve">Analyse, pilotage, arbitrage, restitution</w:t>
      </w:r>
    </w:p>
    <w:p>
      <w:pPr>
        <w:pStyle w:val="ListParagraph"/>
        <w:numPr>
          <w:ilvl w:val="0"/>
          <w:numId w:val="1"/>
        </w:numPr>
        <w:spacing w:after="60"/>
      </w:pPr>
      <w:r>
        <w:t xml:space="preserve">Cadrage et rédaction de cahiers des charges</w:t>
      </w:r>
    </w:p>
    <w:p>
      <w:pPr>
        <w:pStyle w:val="ListParagraph"/>
        <w:numPr>
          <w:ilvl w:val="0"/>
          <w:numId w:val="1"/>
        </w:numPr>
        <w:spacing w:after="60"/>
      </w:pPr>
      <w:r>
        <w:t xml:space="preserve">Sélection prestataires (RFP, RFI, scoring)</w:t>
      </w:r>
    </w:p>
    <w:p>
      <w:pPr>
        <w:pStyle w:val="ListParagraph"/>
        <w:numPr>
          <w:ilvl w:val="0"/>
          <w:numId w:val="1"/>
        </w:numPr>
        <w:spacing w:after="60"/>
      </w:pPr>
      <w:r>
        <w:t xml:space="preserve">Pilotage de la conformité (RGPD, sécurité, souveraineté)</w:t>
      </w:r>
    </w:p>
    <w:p>
      <w:pPr>
        <w:pStyle w:val="ListParagraph"/>
        <w:numPr>
          <w:ilvl w:val="0"/>
          <w:numId w:val="1"/>
        </w:numPr>
        <w:spacing w:after="60"/>
      </w:pPr>
      <w:r>
        <w:t xml:space="preserve">Gouvernance IT et reporting dirigeant</w:t>
      </w:r>
    </w:p>
    <w:p>
      <w:pPr>
        <w:spacing w:after="80" w:before="120"/>
      </w:pPr>
      <w:r>
        <w:rPr>
          <w:b/>
          <w:bCs/>
        </w:rPr>
        <w:t xml:space="preserve">Ce que nous ne faisons pas :</w:t>
      </w:r>
    </w:p>
    <w:p>
      <w:pPr>
        <w:pStyle w:val="ListParagraph"/>
        <w:numPr>
          <w:ilvl w:val="0"/>
          <w:numId w:val="1"/>
        </w:numPr>
        <w:spacing w:after="60"/>
      </w:pPr>
      <w:r>
        <w:t xml:space="preserve">Mise en œuvre technique (MOE) — déploiements, configurations, intégrations</w:t>
      </w:r>
    </w:p>
    <w:p>
      <w:pPr>
        <w:pStyle w:val="ListParagraph"/>
        <w:numPr>
          <w:ilvl w:val="0"/>
          <w:numId w:val="1"/>
        </w:numPr>
        <w:spacing w:after="60"/>
      </w:pPr>
      <w:r>
        <w:t xml:space="preserve">Tierce maintenance applicative ou infogérance opérationnelle</w:t>
      </w:r>
    </w:p>
    <w:p>
      <w:pPr>
        <w:pStyle w:val="ListParagraph"/>
        <w:numPr>
          <w:ilvl w:val="0"/>
          <w:numId w:val="1"/>
        </w:numPr>
        <w:spacing w:after="60"/>
      </w:pPr>
      <w:r>
        <w:t xml:space="preserve">Hotline utilisateur ou support N1/N2</w:t>
      </w:r>
    </w:p>
    <w:p>
      <w:pPr>
        <w:pStyle w:val="ListParagraph"/>
        <w:numPr>
          <w:ilvl w:val="0"/>
          <w:numId w:val="1"/>
        </w:numPr>
        <w:spacing w:after="60"/>
      </w:pPr>
      <w:r>
        <w:t xml:space="preserve">Revente de licences éditeur (sauf demande explicite, voir CGV art. 7.2)</w:t>
      </w:r>
    </w:p>
    <w:p>
      <w:pPr>
        <w:pStyle w:val="Heading2"/>
        <w:spacing w:after="120" w:before="240"/>
      </w:pPr>
      <w:r>
        <w:rPr>
          <w:b/>
          <w:bCs/>
          <w:color w:val="6366F1"/>
          <w:sz w:val="26"/>
          <w:szCs w:val="26"/>
        </w:rPr>
        <w:t xml:space="preserve">Souveraineté</w:t>
      </w:r>
    </w:p>
    <w:p>
      <w:pPr>
        <w:spacing w:after="200"/>
      </w:pPr>
      <w:r>
        <w:rPr>
          <w:b/>
          <w:bCs/>
        </w:rPr>
        <w:t xml:space="preserve">Ordre de préférence : FR &gt; EU &gt; US. </w:t>
      </w:r>
      <w:r>
        <w:t xml:space="preserve">Préférer les solutions souveraines françaises ou européennes lorsqu'elles couvrent fonctionnellement le besoin. Une solution US n'est retenue que si aucune alternative FR/EU ne couvre le besoin métier ou si le client ancre déjà sa stack chez un éditeur US et que la bascule serait disproportionnée.</w:t>
      </w:r>
    </w:p>
    <w:p>
      <w:pPr>
        <w:pStyle w:val="Heading1"/>
        <w:pageBreakBefore/>
        <w:spacing w:after="160" w:before="320"/>
      </w:pPr>
      <w:r>
        <w:rPr>
          <w:b/>
          <w:bCs/>
          <w:color w:val="6366F1"/>
          <w:sz w:val="36"/>
          <w:szCs w:val="36"/>
        </w:rPr>
        <w:t xml:space="preserve">Annexe B — Méta-analyse IA</w:t>
      </w:r>
    </w:p>
    <w:p>
      <w:r>
        <w:rPr>
          <w:color w:val="475569"/>
        </w:rPr>
        <w:t xml:space="preserve">Analyse générée le </w:t>
      </w:r>
      <w:r>
        <w:rPr>
          <w:b/>
          <w:bCs/>
        </w:rPr>
        <w:t xml:space="preserve">2026-10-22T02:02:26.197Z</w:t>
      </w:r>
      <w:r>
        <w:rPr>
          <w:color w:val="475569"/>
        </w:rPr>
        <w:t xml:space="preserve">  ·  Backend : </w:t>
      </w:r>
      <w:r>
        <w:rPr>
          <w:b/>
          <w:bCs/>
          <w:color w:val="0E5C73"/>
        </w:rPr>
        <w:t xml:space="preserve">sections</w:t>
      </w:r>
      <w:r>
        <w:rPr>
          <w:color w:val="475569"/>
        </w:rPr>
        <w:t xml:space="preserve">  ·  Modèle : </w:t>
      </w:r>
      <w:r>
        <w:rPr>
          <w:b/>
          <w:bCs/>
        </w:rPr>
        <w:t xml:space="preserve">claude-sonnet-5</w:t>
      </w:r>
      <w:r>
        <w:rPr>
          <w:color w:val="475569"/>
        </w:rPr>
        <w:t xml:space="preserve">  ·  Durée : </w:t>
      </w:r>
      <w:r>
        <w:rPr>
          <w:b/>
          <w:bCs/>
        </w:rPr>
        <w:t xml:space="preserve">0 ms</w:t>
      </w:r>
      <w:r>
        <w:rPr>
          <w:color w:val="475569"/>
        </w:rPr>
        <w:t xml:space="preserve">  ·  Hash : </w:t>
      </w:r>
      <w:r>
        <w:rPr>
          <w:rFonts w:ascii="Consolas" w:cs="Consolas" w:eastAsia="Consolas" w:hAnsi="Consolas"/>
        </w:rPr>
        <w:t xml:space="preserve"/>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i/>
        <w:iCs/>
        <w:color w:val="7A7A7A"/>
        <w:sz w:val="14"/>
        <w:szCs w:val="14"/>
      </w:rPr>
      <w:t xml:space="preserve">Projet généré automatiquement, non encore relu par le cabinet.</w:t>
    </w:r>
  </w:p>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cadrage AC-CABI-2026-001, TEST_ETI Meridian Group</dc:title>
  <dc:creator>Cabinet Démo</dc:creator>
  <dc:description>Dossier de cadrage interne Cabinet Démo pour TEST_ETI Meridian Group</dc:description>
  <cp:lastModifiedBy>Un-named</cp:lastModifiedBy>
  <cp:revision>1</cp:revision>
  <dcterms:created xsi:type="dcterms:W3CDTF">2026-10-22T02:02:26.243Z</dcterms:created>
  <dcterms:modified xsi:type="dcterms:W3CDTF">2026-10-22T02:02:26.243Z</dcterms:modified>
</cp:coreProperties>
</file>

<file path=docProps/custom.xml><?xml version="1.0" encoding="utf-8"?>
<Properties xmlns="http://schemas.openxmlformats.org/officeDocument/2006/custom-properties" xmlns:vt="http://schemas.openxmlformats.org/officeDocument/2006/docPropsVTypes"/>
</file>