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AUDIT-CADRAGE</w:t>
      </w:r>
    </w:p>
    <w:p>
      <w:pPr>
        <w:spacing w:after="400"/>
        <w:jc w:val="center"/>
      </w:pPr>
      <w:r>
        <w:rPr>
          <w:b/>
          <w:bCs/>
          <w:color w:val="6366F1"/>
          <w:sz w:val="44"/>
          <w:szCs w:val="44"/>
        </w:rPr>
        <w:t xml:space="preserve">Cabinet Démo</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AUDIT-CADRAGE INTERNE</w:t>
      </w:r>
    </w:p>
    <w:p>
      <w:pPr>
        <w:spacing w:after="600"/>
        <w:jc w:val="center"/>
      </w:pPr>
      <w:r>
        <w:rPr>
          <w:i/>
          <w:iCs/>
          <w:color w:val="666666"/>
          <w:sz w:val="28"/>
          <w:szCs w:val="28"/>
        </w:rPr>
        <w:t xml:space="preserve">État de connaissance — préparation mission DSI temps partagé</w:t>
      </w:r>
    </w:p>
    <w:p>
      <w:pPr>
        <w:spacing w:after="80"/>
        <w:jc w:val="center"/>
      </w:pPr>
      <w:r>
        <w:rPr>
          <w:b/>
          <w:bCs/>
          <w:sz w:val="36"/>
          <w:szCs w:val="36"/>
        </w:rPr>
        <w:t xml:space="preserve">TEST_ETI Meridian Group</w:t>
      </w:r>
    </w:p>
    <w:p>
      <w:pPr>
        <w:jc w:val="center"/>
      </w:pPr>
      <w:r>
        <w:rPr>
          <w:i/>
          <w:iCs/>
          <w:color w:val="666666"/>
          <w:sz w:val="22"/>
          <w:szCs w:val="22"/>
        </w:rPr>
        <w:t xml:space="preserve">Services / Conseil &amp; Ingenierie · 300-499</w:t>
      </w:r>
    </w:p>
    <w:p>
      <w:pPr>
        <w:spacing w:after="80" w:before="400"/>
        <w:jc w:val="center"/>
      </w:pPr>
      <w:r>
        <w:rPr>
          <w:color w:val="666666"/>
        </w:rPr>
        <w:t xml:space="preserve">Référence : </w:t>
      </w:r>
      <w:r>
        <w:rPr>
          <w:rFonts w:ascii="Consolas" w:cs="Consolas" w:eastAsia="Consolas" w:hAnsi="Consolas"/>
          <w:b/>
          <w:bCs/>
        </w:rPr>
        <w:t xml:space="preserve">AC-CABI-2026-001</w:t>
      </w:r>
      <w:r>
        <w:rPr>
          <w:color w:val="666666"/>
        </w:rPr>
        <w:t xml:space="preserve">    ·    </w:t>
      </w:r>
      <w:r>
        <w:rPr>
          <w:color w:val="666666"/>
        </w:rPr>
        <w:t xml:space="preserve">Date : </w:t>
      </w:r>
      <w:r>
        <w:t xml:space="preserve">23 juillet 2026</w:t>
      </w:r>
    </w:p>
    <w:p>
      <w:pPr>
        <w:spacing w:after="60" w:before="800"/>
        <w:jc w:val="center"/>
      </w:pPr>
      <w:r>
        <w:rPr>
          <w:b/>
          <w:bCs/>
        </w:rPr>
        <w:t xml:space="preserve">Consultant Démo</w:t>
      </w:r>
      <w:r>
        <w:rPr>
          <w:color w:val="666666"/>
        </w:rPr>
        <w:t xml:space="preserve"> — DSI à temps partagé</w:t>
      </w:r>
    </w:p>
    <w:p>
      <w:pPr>
        <w:jc w:val="center"/>
      </w:pPr>
      <w:r>
        <w:rPr>
          <w:color w:val="666666"/>
          <w:sz w:val="18"/>
          <w:szCs w:val="18"/>
        </w:rPr>
        <w:t xml:space="preserve">demo@mondsi.app · </w:t>
      </w:r>
    </w:p>
    <w:p>
      <w:r>
        <w:br w:type="page"/>
      </w:r>
    </w:p>
    <w:p>
      <w:pPr>
        <w:pStyle w:val="Heading1"/>
        <w:spacing w:after="160" w:before="320"/>
      </w:pPr>
      <w:r>
        <w:rPr>
          <w:b/>
          <w:bCs/>
          <w:color w:val="6366F1"/>
          <w:sz w:val="36"/>
          <w:szCs w:val="36"/>
        </w:rPr>
        <w:t xml:space="preserve">2. Synthèse exécutive</w:t>
      </w:r>
    </w:p>
    <w:p>
      <w:pPr>
        <w:spacing w:after="120"/>
      </w:pPr>
      <w:r>
        <w:t xml:space="preserve">Meridian Group (300-499 collaborateurs, Services/Conseil &amp; Ingénierie) se présente à cet audit avec un profil de maturité IT contrasté : des fondations opérationnelles globalement en place, mais une architecture de gouvernance, de sécurité et de conformité structurellement insuffisante pour soutenir les ambitions de croissance externe, d'internationalisation et de transformation digitale portées par la direction. Sur l'ensemble des neuf diagnostics réalisés, les scores oscillent entre 6/100 (Zero Trust) et 8,5/100 (Diagnostic Express), avec une médiane autour de 7/100 — niveau qui traduit une organisation qui « fait les choses » sans les piloter ni les documenter de façon systémique. Ce delta entre pratiques existantes et pratiques maîtrisées constitue le risque principal : en contexte de croissance externe, c'est précisément ce qui est partiellement fait — et non ce qui est absent — qui génère les incidents les plus coûteux.</w:t>
      </w:r>
    </w:p>
    <w:p>
      <w:pPr>
        <w:spacing w:after="120"/>
      </w:pPr>
      <w:r>
        <w:t xml:space="preserve">Les lacunes les plus critiques se concentrent sur trois axes interdépendants. Premièrement, la sécurité des identités et des accès est le maillon faible transverse : comptes partagés subsistants, MFA incomplet, annuaire central non exhaustif (prestataires, comptes de service), Conditional Access partiel, SSO SaaS absent — autant de vecteurs d'attaque directement exploitables lors d'une intégration post-acquisition ou d'une ouverture internationale. Deuxièmement, la résilience opérationnelle est insuffisante : la sauvegarde 3-2-1 est incomplète, les tests de restauration absents, les RTO/RPO non validés, et aucun exercice de crise cyber n'a été conduit à terme — une exposition majeure pour une ETI dont la continuité de service est un actif commercial. Troisièmement, la gouvernance IT manque de colonne vertébrale : pas de KPI reportés à la direction, pas de portefeuille projets priorisé, pas de business cases formalisés, dépendance aux personnes clés non mitigée — ce qui rend impossible tout pilotage éclairé des investissements IT dans un contexte de transformation accélérée.</w:t>
      </w:r>
    </w:p>
    <w:p>
      <w:pPr>
        <w:spacing w:after="120"/>
      </w:pPr>
      <w:r>
        <w:t xml:space="preserve">Sur le plan de la conformité réglementaire, la situation est préoccupante à court terme. Le RGPD présente des fragilités documentées sur la diffusion de la politique, le suivi des DPIA, la conformité cookies et les transferts hors UE/EEE — points directement opposables en audit CNIL ou en due diligence M&amp;A. NIS2 (entité importante) impose des obligations de gouvernance des risques, de gestion des incidents et de sécurité de la chaîne d'approvisionnement que Meridian Group ne satisfait pas encore formellement. L'ISO 27001 exigée par les clients grands comptes suppose une maturité documentaire et opérationnelle que plusieurs diagnostics révèlent comme non atteinte. Enfin, la facturation électronique obligatoire au 1er septembre 2026 constitue une échéance réglementaire non préparée avec un délai d'exécution qui se resserre.</w:t>
      </w:r>
    </w:p>
    <w:p>
      <w:pPr>
        <w:spacing w:after="120"/>
      </w:pPr>
      <w:r>
        <w:t xml:space="preserve">La dynamique de croissance externe amplifie chacun de ces risques : toute acquisition intègre par défaut les vulnérabilités du parc absorbé dans le périmètre de sécurité de Meridian Group. Sans cartographie des applications critiques finalisée, sans plan de renouvellement budgété, sans processus d'intégration IT formalisé, chaque opération M&amp;A est un vecteur d'exposition supplémentaire plutôt qu'un levier de valeur. Le plan d'action proposé vise précisément à construire, en 90 jours, les fondations qui permettront à Meridian Group de croître sans dégrader son profil de risque — et de démontrer sa maturité aux clients, aux régulateurs et aux cibles potentielles.</w:t>
      </w:r>
    </w:p>
    <w:p>
      <w:pPr>
        <w:pStyle w:val="Heading1"/>
        <w:pageBreakBefore/>
        <w:spacing w:after="160" w:before="320"/>
      </w:pPr>
      <w:r>
        <w:rPr>
          <w:b/>
          <w:bCs/>
          <w:color w:val="6366F1"/>
          <w:sz w:val="36"/>
          <w:szCs w:val="36"/>
        </w:rPr>
        <w:t xml:space="preserve">3. Profil client &amp; enjeux</w:t>
      </w:r>
    </w:p>
    <w:tbl>
      <w:tblPr>
        <w:tblW w:type="pct" w:w="100%"/>
        <w:tblBorders>
          <w:top w:val="single" w:color="E2E8F0" w:sz="4"/>
          <w:left w:val="single" w:color="E2E8F0" w:sz="4"/>
          <w:bottom w:val="single" w:color="E2E8F0" w:sz="4"/>
          <w:right w:val="single" w:color="E2E8F0" w:sz="4"/>
          <w:insideH w:val="single" w:color="E2E8F0" w:sz="2"/>
          <w:insideV w:val="single" w:color="E2E8F0" w:sz="2"/>
        </w:tblBorders>
      </w:tblPr>
      <w:tblGrid>
        <w:gridCol w:w="100"/>
        <w:gridCol w:w="100"/>
      </w:tblGrid>
      <w:tr>
        <w:tc>
          <w:tcPr>
            <w:tcW w:type="pct" w:w="32%"/>
            <w:shd w:fill="F8FAFC"/>
          </w:tcPr>
          <w:p>
            <w:r>
              <w:rPr>
                <w:b/>
                <w:bCs/>
                <w:color w:val="6366F1"/>
              </w:rPr>
              <w:t xml:space="preserve">Nom</w:t>
            </w:r>
          </w:p>
        </w:tc>
        <w:tc>
          <w:tcPr>
            <w:tcW w:type="pct" w:w="68%"/>
          </w:tcPr>
          <w:p>
            <w:r>
              <w:t xml:space="preserve">TEST_ETI Meridian Group</w:t>
            </w:r>
          </w:p>
        </w:tc>
      </w:tr>
      <w:tr>
        <w:tc>
          <w:tcPr>
            <w:tcW w:type="pct" w:w="32%"/>
            <w:shd w:fill="F8FAFC"/>
          </w:tcPr>
          <w:p>
            <w:r>
              <w:rPr>
                <w:b/>
                <w:bCs/>
                <w:color w:val="6366F1"/>
              </w:rPr>
              <w:t xml:space="preserve">Secteur</w:t>
            </w:r>
          </w:p>
        </w:tc>
        <w:tc>
          <w:tcPr>
            <w:tcW w:type="pct" w:w="68%"/>
          </w:tcPr>
          <w:p>
            <w:r>
              <w:t xml:space="preserve">Services / Conseil &amp; Ingenierie</w:t>
            </w:r>
          </w:p>
        </w:tc>
      </w:tr>
      <w:tr>
        <w:tc>
          <w:tcPr>
            <w:tcW w:type="pct" w:w="32%"/>
            <w:shd w:fill="F8FAFC"/>
          </w:tcPr>
          <w:p>
            <w:r>
              <w:rPr>
                <w:b/>
                <w:bCs/>
                <w:color w:val="6366F1"/>
              </w:rPr>
              <w:t xml:space="preserve">Effectif</w:t>
            </w:r>
          </w:p>
        </w:tc>
        <w:tc>
          <w:tcPr>
            <w:tcW w:type="pct" w:w="68%"/>
          </w:tcPr>
          <w:p>
            <w:r>
              <w:t xml:space="preserve">300-499</w:t>
            </w:r>
          </w:p>
        </w:tc>
      </w:tr>
      <w:tr>
        <w:tc>
          <w:tcPr>
            <w:tcW w:type="pct" w:w="32%"/>
            <w:shd w:fill="F8FAFC"/>
          </w:tcPr>
          <w:p>
            <w:r>
              <w:rPr>
                <w:b/>
                <w:bCs/>
                <w:color w:val="6366F1"/>
              </w:rPr>
              <w:t xml:space="preserve">Dirigeant principal</w:t>
            </w:r>
          </w:p>
        </w:tc>
        <w:tc>
          <w:tcPr>
            <w:tcW w:type="pct" w:w="68%"/>
          </w:tcPr>
          <w:p>
            <w:r>
              <w:t xml:space="preserve">Contact test (fictif)</w:t>
            </w:r>
          </w:p>
        </w:tc>
      </w:tr>
    </w:tbl>
    <w:p>
      <w:pPr>
        <w:pStyle w:val="Heading3"/>
        <w:spacing w:after="80" w:before="200"/>
      </w:pPr>
      <w:r>
        <w:rPr>
          <w:b/>
          <w:bCs/>
          <w:sz w:val="22"/>
          <w:szCs w:val="22"/>
        </w:rPr>
        <w:t xml:space="preserve">Enjeux business</w:t>
      </w:r>
    </w:p>
    <w:p>
      <w:pPr>
        <w:pStyle w:val="ListParagraph"/>
        <w:numPr>
          <w:ilvl w:val="0"/>
          <w:numId w:val="1"/>
        </w:numPr>
        <w:spacing w:after="60"/>
      </w:pPr>
      <w:r>
        <w:t xml:space="preserve">croissance-externe</w:t>
      </w:r>
    </w:p>
    <w:p>
      <w:pPr>
        <w:pStyle w:val="ListParagraph"/>
        <w:numPr>
          <w:ilvl w:val="0"/>
          <w:numId w:val="1"/>
        </w:numPr>
        <w:spacing w:after="60"/>
      </w:pPr>
      <w:r>
        <w:t xml:space="preserve">conformite-reglementaire</w:t>
      </w:r>
    </w:p>
    <w:p>
      <w:pPr>
        <w:pStyle w:val="ListParagraph"/>
        <w:numPr>
          <w:ilvl w:val="0"/>
          <w:numId w:val="1"/>
        </w:numPr>
        <w:spacing w:after="60"/>
      </w:pPr>
      <w:r>
        <w:t xml:space="preserve">cybersecurite</w:t>
      </w:r>
    </w:p>
    <w:p>
      <w:pPr>
        <w:pStyle w:val="ListParagraph"/>
        <w:numPr>
          <w:ilvl w:val="0"/>
          <w:numId w:val="1"/>
        </w:numPr>
        <w:spacing w:after="60"/>
      </w:pPr>
      <w:r>
        <w:t xml:space="preserve">transformation-digitale</w:t>
      </w:r>
    </w:p>
    <w:p>
      <w:pPr>
        <w:pStyle w:val="ListParagraph"/>
        <w:numPr>
          <w:ilvl w:val="0"/>
          <w:numId w:val="1"/>
        </w:numPr>
        <w:spacing w:after="60"/>
      </w:pPr>
      <w:r>
        <w:t xml:space="preserve">internationalisation</w:t>
      </w:r>
    </w:p>
    <w:p>
      <w:pPr>
        <w:pStyle w:val="Heading3"/>
        <w:spacing w:after="80" w:before="200"/>
      </w:pPr>
      <w:r>
        <w:rPr>
          <w:b/>
          <w:bCs/>
          <w:sz w:val="22"/>
          <w:szCs w:val="22"/>
        </w:rPr>
        <w:t xml:space="preserve">Sujets IT identifiés</w:t>
      </w:r>
    </w:p>
    <w:p>
      <w:pPr>
        <w:pStyle w:val="ListParagraph"/>
        <w:numPr>
          <w:ilvl w:val="0"/>
          <w:numId w:val="1"/>
        </w:numPr>
        <w:spacing w:after="60"/>
      </w:pPr>
      <w:r>
        <w:t xml:space="preserve">m365</w:t>
      </w:r>
    </w:p>
    <w:p>
      <w:pPr>
        <w:pStyle w:val="ListParagraph"/>
        <w:numPr>
          <w:ilvl w:val="0"/>
          <w:numId w:val="1"/>
        </w:numPr>
        <w:spacing w:after="60"/>
      </w:pPr>
      <w:r>
        <w:t xml:space="preserve">securite</w:t>
      </w:r>
    </w:p>
    <w:p>
      <w:pPr>
        <w:pStyle w:val="ListParagraph"/>
        <w:numPr>
          <w:ilvl w:val="0"/>
          <w:numId w:val="1"/>
        </w:numPr>
        <w:spacing w:after="60"/>
      </w:pPr>
      <w:r>
        <w:t xml:space="preserve">rgpd</w:t>
      </w:r>
    </w:p>
    <w:p>
      <w:pPr>
        <w:pStyle w:val="ListParagraph"/>
        <w:numPr>
          <w:ilvl w:val="0"/>
          <w:numId w:val="1"/>
        </w:numPr>
        <w:spacing w:after="60"/>
      </w:pPr>
      <w:r>
        <w:t xml:space="preserve">iso27001</w:t>
      </w:r>
    </w:p>
    <w:p>
      <w:pPr>
        <w:pStyle w:val="ListParagraph"/>
        <w:numPr>
          <w:ilvl w:val="0"/>
          <w:numId w:val="1"/>
        </w:numPr>
        <w:spacing w:after="60"/>
      </w:pPr>
      <w:r>
        <w:t xml:space="preserve">erp</w:t>
      </w:r>
    </w:p>
    <w:p>
      <w:pPr>
        <w:pStyle w:val="ListParagraph"/>
        <w:numPr>
          <w:ilvl w:val="0"/>
          <w:numId w:val="1"/>
        </w:numPr>
        <w:spacing w:after="60"/>
      </w:pPr>
      <w:r>
        <w:t xml:space="preserve">iam</w:t>
      </w:r>
    </w:p>
    <w:p>
      <w:pPr>
        <w:pStyle w:val="ListParagraph"/>
        <w:numPr>
          <w:ilvl w:val="0"/>
          <w:numId w:val="1"/>
        </w:numPr>
        <w:spacing w:after="60"/>
      </w:pPr>
      <w:r>
        <w:t xml:space="preserve">soc</w:t>
      </w:r>
    </w:p>
    <w:p>
      <w:pPr>
        <w:pStyle w:val="ListParagraph"/>
        <w:numPr>
          <w:ilvl w:val="0"/>
          <w:numId w:val="1"/>
        </w:numPr>
        <w:spacing w:after="60"/>
      </w:pPr>
      <w:r>
        <w:t xml:space="preserve">cloud-azure</w:t>
      </w:r>
    </w:p>
    <w:p>
      <w:pPr>
        <w:pStyle w:val="Heading3"/>
        <w:spacing w:after="80" w:before="200"/>
      </w:pPr>
      <w:r>
        <w:rPr>
          <w:b/>
          <w:bCs/>
          <w:sz w:val="22"/>
          <w:szCs w:val="22"/>
        </w:rPr>
        <w:t xml:space="preserve">Cadre réglementaire applicable</w:t>
      </w:r>
    </w:p>
    <w:p>
      <w:pPr>
        <w:pStyle w:val="ListParagraph"/>
        <w:numPr>
          <w:ilvl w:val="0"/>
          <w:numId w:val="1"/>
        </w:numPr>
        <w:spacing w:after="60"/>
      </w:pPr>
      <w:r>
        <w:t xml:space="preserve">nis2-importante</w:t>
      </w:r>
    </w:p>
    <w:p>
      <w:pPr>
        <w:pStyle w:val="ListParagraph"/>
        <w:numPr>
          <w:ilvl w:val="0"/>
          <w:numId w:val="1"/>
        </w:numPr>
        <w:spacing w:after="60"/>
      </w:pPr>
      <w:r>
        <w:t xml:space="preserve">rgpd-strict</w:t>
      </w:r>
    </w:p>
    <w:p>
      <w:pPr>
        <w:pStyle w:val="ListParagraph"/>
        <w:numPr>
          <w:ilvl w:val="0"/>
          <w:numId w:val="1"/>
        </w:numPr>
        <w:spacing w:after="60"/>
      </w:pPr>
      <w:r>
        <w:t xml:space="preserve">iso27001-exige-clients</w:t>
      </w:r>
    </w:p>
    <w:p>
      <w:pPr>
        <w:pStyle w:val="ListParagraph"/>
        <w:numPr>
          <w:ilvl w:val="0"/>
          <w:numId w:val="1"/>
        </w:numPr>
        <w:spacing w:after="60"/>
      </w:pPr>
      <w:r>
        <w:t xml:space="preserve">dora-partiel</w:t>
      </w:r>
    </w:p>
    <w:p>
      <w:pPr>
        <w:pStyle w:val="Heading1"/>
        <w:pageBreakBefore/>
        <w:spacing w:after="160" w:before="320"/>
      </w:pPr>
      <w:r>
        <w:rPr>
          <w:b/>
          <w:bCs/>
          <w:color w:val="6366F1"/>
          <w:sz w:val="36"/>
          <w:szCs w:val="36"/>
        </w:rPr>
        <w:t xml:space="preserve">4. Couverture des diagnostics &amp; KPI</w:t>
      </w:r>
    </w:p>
    <w:p>
      <w:pPr>
        <w:spacing w:after="120"/>
      </w:pPr>
      <w:r>
        <w:rPr>
          <w:i/>
          <w:iCs/>
          <w:color w:val="475569"/>
        </w:rPr>
        <w:t xml:space="preserve">Vue synthétique de la couverture des diagnostics. Un diagnostic est considéré comme « couvert » à partir de 5 réponses saisies.</w:t>
      </w:r>
    </w:p>
    <w:tbl>
      <w:tblPr>
        <w:tblW w:type="pct" w:w="100%"/>
        <w:tblBorders>
          <w:top w:val="single" w:color="CCCCCC" w:sz="4"/>
          <w:left w:val="single" w:color="CCCCCC" w:sz="4"/>
          <w:bottom w:val="single" w:color="CCCCCC" w:sz="4"/>
          <w:right w:val="single" w:color="CCCCCC" w:sz="4"/>
          <w:insideH w:val="single" w:color="E5E7EB" w:sz="2"/>
          <w:insideV w:val="single" w:color="E5E7EB" w:sz="2"/>
        </w:tblBorders>
      </w:tblPr>
      <w:tblGrid>
        <w:gridCol w:w="100"/>
        <w:gridCol w:w="100"/>
        <w:gridCol w:w="100"/>
        <w:gridCol w:w="100"/>
        <w:gridCol w:w="100"/>
        <w:gridCol w:w="100"/>
        <w:gridCol w:w="100"/>
      </w:tblGrid>
      <w:tr>
        <w:trPr>
          <w:tblHeader/>
        </w:trPr>
        <w:tc>
          <w:tcPr>
            <w:shd w:fill="EEF2FF"/>
          </w:tcPr>
          <w:p>
            <w:r>
              <w:rPr>
                <w:b/>
                <w:bCs/>
                <w:color w:val="6366F1"/>
              </w:rPr>
              <w:t xml:space="preserve">Diagnostic</w:t>
            </w:r>
          </w:p>
        </w:tc>
        <w:tc>
          <w:tcPr>
            <w:shd w:fill="EEF2FF"/>
          </w:tcPr>
          <w:p>
            <w:r>
              <w:rPr>
                <w:b/>
                <w:bCs/>
                <w:color w:val="6366F1"/>
              </w:rPr>
              <w:t xml:space="preserve">Statut</w:t>
            </w:r>
          </w:p>
        </w:tc>
        <w:tc>
          <w:tcPr>
            <w:shd w:fill="EEF2FF"/>
          </w:tcPr>
          <w:p>
            <w:r>
              <w:rPr>
                <w:b/>
                <w:bCs/>
                <w:color w:val="6366F1"/>
              </w:rPr>
              <w:t xml:space="preserve">Réponses</w:t>
            </w:r>
          </w:p>
        </w:tc>
        <w:tc>
          <w:tcPr>
            <w:shd w:fill="EEF2FF"/>
          </w:tcPr>
          <w:p>
            <w:r>
              <w:rPr>
                <w:b/>
                <w:bCs/>
                <w:color w:val="6366F1"/>
              </w:rPr>
              <w:t xml:space="preserve">Score moyen</w:t>
            </w:r>
          </w:p>
        </w:tc>
        <w:tc>
          <w:tcPr>
            <w:shd w:fill="EEF2FF"/>
          </w:tcPr>
          <w:p>
            <w:r>
              <w:rPr>
                <w:b/>
                <w:bCs/>
                <w:color w:val="6366F1"/>
              </w:rPr>
              <w:t xml:space="preserve">Partiel / Non</w:t>
            </w:r>
          </w:p>
        </w:tc>
        <w:tc>
          <w:tcPr>
            <w:shd w:fill="EEF2FF"/>
          </w:tcPr>
          <w:p>
            <w:r>
              <w:rPr>
                <w:b/>
                <w:bCs/>
                <w:color w:val="6366F1"/>
              </w:rPr>
              <w:t xml:space="preserve">NSP</w:t>
            </w:r>
          </w:p>
        </w:tc>
        <w:tc>
          <w:tcPr>
            <w:shd w:fill="EEF2FF"/>
          </w:tcPr>
          <w:p>
            <w:r>
              <w:rPr>
                <w:b/>
                <w:bCs/>
                <w:color w:val="6366F1"/>
              </w:rPr>
              <w:t xml:space="preserve">Commentaires</w:t>
            </w:r>
          </w:p>
        </w:tc>
      </w:tr>
      <w:tr>
        <w:tc>
          <w:p>
            <w:r>
              <w:rPr>
                <w:b/>
                <w:bCs/>
              </w:rPr>
              <w:t xml:space="preserve">Diag IT N1</w:t>
            </w:r>
          </w:p>
        </w:tc>
        <w:tc>
          <w:p>
            <w:r>
              <w:rPr>
                <w:b/>
                <w:bCs/>
                <w:color w:val="6366F1"/>
              </w:rPr>
              <w:t xml:space="preserve">Couvert</w:t>
            </w:r>
          </w:p>
        </w:tc>
        <w:tc>
          <w:p>
            <w:r>
              <w:t xml:space="preserve">26</w:t>
            </w:r>
          </w:p>
        </w:tc>
        <w:tc>
          <w:p>
            <w:r>
              <w:t xml:space="preserve">90/100</w:t>
            </w:r>
          </w:p>
        </w:tc>
        <w:tc>
          <w:p>
            <w:r>
              <w:t xml:space="preserve">5 / 0</w:t>
            </w:r>
          </w:p>
        </w:tc>
        <w:tc>
          <w:p>
            <w:r>
              <w:rPr>
                <w:b w:val="false"/>
                <w:bCs w:val="false"/>
              </w:rPr>
              <w:t xml:space="preserve">0</w:t>
            </w:r>
          </w:p>
        </w:tc>
        <w:tc>
          <w:p>
            <w:r>
              <w:t xml:space="preserve">0</w:t>
            </w:r>
          </w:p>
        </w:tc>
      </w:tr>
      <w:tr>
        <w:tc>
          <w:p>
            <w:r>
              <w:rPr>
                <w:b/>
                <w:bCs/>
              </w:rPr>
              <w:t xml:space="preserve">Diag IT N2</w:t>
            </w:r>
          </w:p>
        </w:tc>
        <w:tc>
          <w:p>
            <w:r>
              <w:rPr>
                <w:b/>
                <w:bCs/>
                <w:color w:val="6366F1"/>
              </w:rPr>
              <w:t xml:space="preserve">Couvert</w:t>
            </w:r>
          </w:p>
        </w:tc>
        <w:tc>
          <w:p>
            <w:r>
              <w:t xml:space="preserve">75</w:t>
            </w:r>
          </w:p>
        </w:tc>
        <w:tc>
          <w:p>
            <w:r>
              <w:t xml:space="preserve">72/100</w:t>
            </w:r>
          </w:p>
        </w:tc>
        <w:tc>
          <w:p>
            <w:r>
              <w:t xml:space="preserve">22 / 10</w:t>
            </w:r>
          </w:p>
        </w:tc>
        <w:tc>
          <w:p>
            <w:r>
              <w:rPr>
                <w:b w:val="false"/>
                <w:bCs w:val="false"/>
              </w:rPr>
              <w:t xml:space="preserve">0</w:t>
            </w:r>
          </w:p>
        </w:tc>
        <w:tc>
          <w:p>
            <w:r>
              <w:t xml:space="preserve">0</w:t>
            </w:r>
          </w:p>
        </w:tc>
      </w:tr>
      <w:tr>
        <w:tc>
          <w:p>
            <w:r>
              <w:rPr>
                <w:b/>
                <w:bCs/>
              </w:rPr>
              <w:t xml:space="preserve">Modern Workplace</w:t>
            </w:r>
          </w:p>
        </w:tc>
        <w:tc>
          <w:p>
            <w:r>
              <w:rPr>
                <w:b/>
                <w:bCs/>
                <w:color w:val="6366F1"/>
              </w:rPr>
              <w:t xml:space="preserve">Couvert</w:t>
            </w:r>
          </w:p>
        </w:tc>
        <w:tc>
          <w:p>
            <w:r>
              <w:t xml:space="preserve">28</w:t>
            </w:r>
          </w:p>
        </w:tc>
        <w:tc>
          <w:p>
            <w:r>
              <w:t xml:space="preserve">88/100</w:t>
            </w:r>
          </w:p>
        </w:tc>
        <w:tc>
          <w:p>
            <w:r>
              <w:t xml:space="preserve">7 / 0</w:t>
            </w:r>
          </w:p>
        </w:tc>
        <w:tc>
          <w:p>
            <w:r>
              <w:rPr>
                <w:b w:val="false"/>
                <w:bCs w:val="false"/>
              </w:rPr>
              <w:t xml:space="preserve">0</w:t>
            </w:r>
          </w:p>
        </w:tc>
        <w:tc>
          <w:p>
            <w:r>
              <w:t xml:space="preserve">0</w:t>
            </w:r>
          </w:p>
        </w:tc>
      </w:tr>
      <w:tr>
        <w:tc>
          <w:p>
            <w:r>
              <w:rPr>
                <w:b/>
                <w:bCs/>
              </w:rPr>
              <w:t xml:space="preserve">Zero Trust</w:t>
            </w:r>
          </w:p>
        </w:tc>
        <w:tc>
          <w:p>
            <w:r>
              <w:rPr>
                <w:b/>
                <w:bCs/>
                <w:color w:val="6366F1"/>
              </w:rPr>
              <w:t xml:space="preserve">Couvert</w:t>
            </w:r>
          </w:p>
        </w:tc>
        <w:tc>
          <w:p>
            <w:r>
              <w:t xml:space="preserve">20</w:t>
            </w:r>
          </w:p>
        </w:tc>
        <w:tc>
          <w:p>
            <w:r>
              <w:t xml:space="preserve">80/100</w:t>
            </w:r>
          </w:p>
        </w:tc>
        <w:tc>
          <w:p>
            <w:r>
              <w:t xml:space="preserve">8 / 0</w:t>
            </w:r>
          </w:p>
        </w:tc>
        <w:tc>
          <w:p>
            <w:r>
              <w:rPr>
                <w:b w:val="false"/>
                <w:bCs w:val="false"/>
              </w:rPr>
              <w:t xml:space="preserve">0</w:t>
            </w:r>
          </w:p>
        </w:tc>
        <w:tc>
          <w:p>
            <w:r>
              <w:t xml:space="preserve">0</w:t>
            </w:r>
          </w:p>
        </w:tc>
      </w:tr>
      <w:tr>
        <w:tc>
          <w:p>
            <w:r>
              <w:rPr>
                <w:b/>
                <w:bCs/>
              </w:rPr>
              <w:t xml:space="preserve">IA &amp; Automatisations</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Entretien dirigeant</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France Num</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PCA/PRA</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Adoption ADKAR</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Zachman SI</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RGPD</w:t>
            </w:r>
          </w:p>
        </w:tc>
        <w:tc>
          <w:p>
            <w:r>
              <w:rPr>
                <w:b/>
                <w:bCs/>
                <w:color w:val="6366F1"/>
              </w:rPr>
              <w:t xml:space="preserve">Couvert</w:t>
            </w:r>
          </w:p>
        </w:tc>
        <w:tc>
          <w:p>
            <w:r>
              <w:t xml:space="preserve">16</w:t>
            </w:r>
          </w:p>
        </w:tc>
        <w:tc>
          <w:p>
            <w:r>
              <w:t xml:space="preserve">88/100</w:t>
            </w:r>
          </w:p>
        </w:tc>
        <w:tc>
          <w:p>
            <w:r>
              <w:t xml:space="preserve">4 / 0</w:t>
            </w:r>
          </w:p>
        </w:tc>
        <w:tc>
          <w:p>
            <w:r>
              <w:rPr>
                <w:b w:val="false"/>
                <w:bCs w:val="false"/>
              </w:rPr>
              <w:t xml:space="preserve">0</w:t>
            </w:r>
          </w:p>
        </w:tc>
        <w:tc>
          <w:p>
            <w:r>
              <w:t xml:space="preserve">0</w:t>
            </w:r>
          </w:p>
        </w:tc>
      </w:tr>
      <w:tr>
        <w:tc>
          <w:p>
            <w:r>
              <w:rPr>
                <w:b/>
                <w:bCs/>
              </w:rPr>
              <w:t xml:space="preserve">Gestion risques</w:t>
            </w:r>
          </w:p>
        </w:tc>
        <w:tc>
          <w:p>
            <w:r>
              <w:rPr>
                <w:b/>
                <w:bCs/>
                <w:color w:val="6366F1"/>
              </w:rPr>
              <w:t xml:space="preserve">Couvert</w:t>
            </w:r>
          </w:p>
        </w:tc>
        <w:tc>
          <w:p>
            <w:r>
              <w:t xml:space="preserve">12</w:t>
            </w:r>
          </w:p>
        </w:tc>
        <w:tc>
          <w:p>
            <w:r>
              <w:t xml:space="preserve">83/100</w:t>
            </w:r>
          </w:p>
        </w:tc>
        <w:tc>
          <w:p>
            <w:r>
              <w:t xml:space="preserve">4 / 0</w:t>
            </w:r>
          </w:p>
        </w:tc>
        <w:tc>
          <w:p>
            <w:r>
              <w:rPr>
                <w:b w:val="false"/>
                <w:bCs w:val="false"/>
              </w:rPr>
              <w:t xml:space="preserve">0</w:t>
            </w:r>
          </w:p>
        </w:tc>
        <w:tc>
          <w:p>
            <w:r>
              <w:t xml:space="preserve">0</w:t>
            </w:r>
          </w:p>
        </w:tc>
      </w:tr>
      <w:tr>
        <w:tc>
          <w:p>
            <w:r>
              <w:rPr>
                <w:b/>
                <w:bCs/>
              </w:rPr>
              <w:t xml:space="preserve">Gouvernance IT</w:t>
            </w:r>
          </w:p>
        </w:tc>
        <w:tc>
          <w:p>
            <w:r>
              <w:rPr>
                <w:b/>
                <w:bCs/>
                <w:color w:val="6366F1"/>
              </w:rPr>
              <w:t xml:space="preserve">Couvert</w:t>
            </w:r>
          </w:p>
        </w:tc>
        <w:tc>
          <w:p>
            <w:r>
              <w:t xml:space="preserve">14</w:t>
            </w:r>
          </w:p>
        </w:tc>
        <w:tc>
          <w:p>
            <w:r>
              <w:t xml:space="preserve">79/100</w:t>
            </w:r>
          </w:p>
        </w:tc>
        <w:tc>
          <w:p>
            <w:r>
              <w:t xml:space="preserve">6 / 0</w:t>
            </w:r>
          </w:p>
        </w:tc>
        <w:tc>
          <w:p>
            <w:r>
              <w:rPr>
                <w:b w:val="false"/>
                <w:bCs w:val="false"/>
              </w:rPr>
              <w:t xml:space="preserve">0</w:t>
            </w:r>
          </w:p>
        </w:tc>
        <w:tc>
          <w:p>
            <w:r>
              <w:t xml:space="preserve">0</w:t>
            </w:r>
          </w:p>
        </w:tc>
      </w:tr>
      <w:tr>
        <w:tc>
          <w:p>
            <w:r>
              <w:rPr>
                <w:b/>
                <w:bCs/>
              </w:rPr>
              <w:t xml:space="preserve">Parc IT</w:t>
            </w:r>
          </w:p>
        </w:tc>
        <w:tc>
          <w:p>
            <w:r>
              <w:rPr>
                <w:b/>
                <w:bCs/>
                <w:color w:val="6366F1"/>
              </w:rPr>
              <w:t xml:space="preserve">Couvert</w:t>
            </w:r>
          </w:p>
        </w:tc>
        <w:tc>
          <w:p>
            <w:r>
              <w:t xml:space="preserve">12</w:t>
            </w:r>
          </w:p>
        </w:tc>
        <w:tc>
          <w:p>
            <w:r>
              <w:t xml:space="preserve">88/100</w:t>
            </w:r>
          </w:p>
        </w:tc>
        <w:tc>
          <w:p>
            <w:r>
              <w:t xml:space="preserve">3 / 0</w:t>
            </w:r>
          </w:p>
        </w:tc>
        <w:tc>
          <w:p>
            <w:r>
              <w:rPr>
                <w:b w:val="false"/>
                <w:bCs w:val="false"/>
              </w:rPr>
              <w:t xml:space="preserve">0</w:t>
            </w:r>
          </w:p>
        </w:tc>
        <w:tc>
          <w:p>
            <w:r>
              <w:t xml:space="preserve">0</w:t>
            </w:r>
          </w:p>
        </w:tc>
      </w:tr>
      <w:tr>
        <w:tc>
          <w:p>
            <w:r>
              <w:rPr>
                <w:b/>
                <w:bCs/>
              </w:rPr>
              <w:t xml:space="preserve">Sensibilisation</w:t>
            </w:r>
          </w:p>
        </w:tc>
        <w:tc>
          <w:p>
            <w:r>
              <w:rPr>
                <w:b/>
                <w:bCs/>
                <w:color w:val="6366F1"/>
              </w:rPr>
              <w:t xml:space="preserve">Couvert</w:t>
            </w:r>
          </w:p>
        </w:tc>
        <w:tc>
          <w:p>
            <w:r>
              <w:t xml:space="preserve">10</w:t>
            </w:r>
          </w:p>
        </w:tc>
        <w:tc>
          <w:p>
            <w:r>
              <w:t xml:space="preserve">85/100</w:t>
            </w:r>
          </w:p>
        </w:tc>
        <w:tc>
          <w:p>
            <w:r>
              <w:t xml:space="preserve">3 / 0</w:t>
            </w:r>
          </w:p>
        </w:tc>
        <w:tc>
          <w:p>
            <w:r>
              <w:rPr>
                <w:b w:val="false"/>
                <w:bCs w:val="false"/>
              </w:rPr>
              <w:t xml:space="preserve">0</w:t>
            </w:r>
          </w:p>
        </w:tc>
        <w:tc>
          <w:p>
            <w:r>
              <w:t xml:space="preserve">0</w:t>
            </w:r>
          </w:p>
        </w:tc>
      </w:tr>
      <w:tr>
        <w:tc>
          <w:p>
            <w:r>
              <w:rPr>
                <w:b/>
                <w:bCs/>
              </w:rPr>
              <w:t xml:space="preserve">Google Workspace</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r>
        <w:tc>
          <w:p>
            <w:r>
              <w:rPr>
                <w:b/>
                <w:bCs/>
              </w:rPr>
              <w:t xml:space="preserve">FinOps</w:t>
            </w:r>
          </w:p>
        </w:tc>
        <w:tc>
          <w:p>
            <w:r>
              <w:rPr>
                <w:b w:val="false"/>
                <w:bCs w:val="false"/>
                <w:color w:val="94A3B8"/>
              </w:rPr>
              <w:t xml:space="preserve">Non démarré</w:t>
            </w:r>
          </w:p>
        </w:tc>
        <w:tc>
          <w:p>
            <w:r>
              <w:t xml:space="preserve">0</w:t>
            </w:r>
          </w:p>
        </w:tc>
        <w:tc>
          <w:p>
            <w:r>
              <w:t xml:space="preserve">—</w:t>
            </w:r>
          </w:p>
        </w:tc>
        <w:tc>
          <w:p>
            <w:r>
              <w:t xml:space="preserve">0 / 0</w:t>
            </w:r>
          </w:p>
        </w:tc>
        <w:tc>
          <w:p>
            <w:r>
              <w:rPr>
                <w:b w:val="false"/>
                <w:bCs w:val="false"/>
              </w:rPr>
              <w:t xml:space="preserve">0</w:t>
            </w:r>
          </w:p>
        </w:tc>
        <w:tc>
          <w:p>
            <w:r>
              <w:t xml:space="preserve">0</w:t>
            </w:r>
          </w:p>
        </w:tc>
      </w:tr>
    </w:tbl>
    <w:p>
      <w:pPr>
        <w:pStyle w:val="Heading3"/>
        <w:spacing w:after="80" w:before="200"/>
      </w:pPr>
      <w:r>
        <w:rPr>
          <w:b/>
          <w:bCs/>
          <w:sz w:val="22"/>
          <w:szCs w:val="22"/>
        </w:rPr>
        <w:t xml:space="preserve">Diag IT N1 — détail par catégorie</w:t>
      </w:r>
    </w:p>
    <w:p>
      <w:pPr>
        <w:pStyle w:val="ListParagraph"/>
        <w:numPr>
          <w:ilvl w:val="0"/>
          <w:numId w:val="1"/>
        </w:numPr>
        <w:spacing w:after="60"/>
      </w:pPr>
      <w:r>
        <w:t xml:space="preserve">Identité &amp; accès : 83/100 (3/3 réponses · 1P / 0N)</w:t>
      </w:r>
    </w:p>
    <w:p>
      <w:pPr>
        <w:pStyle w:val="ListParagraph"/>
        <w:numPr>
          <w:ilvl w:val="0"/>
          <w:numId w:val="1"/>
        </w:numPr>
        <w:spacing w:after="60"/>
      </w:pPr>
      <w:r>
        <w:t xml:space="preserve">Gouvernance SI : 75/100 (2/2 réponses · 1P / 0N)</w:t>
      </w:r>
    </w:p>
    <w:p>
      <w:pPr>
        <w:pStyle w:val="ListParagraph"/>
        <w:numPr>
          <w:ilvl w:val="0"/>
          <w:numId w:val="1"/>
        </w:numPr>
        <w:spacing w:after="60"/>
      </w:pPr>
      <w:r>
        <w:t xml:space="preserve">Cybersécurité : 100/100 (4/4 réponses · 0P / 0N)</w:t>
      </w:r>
    </w:p>
    <w:p>
      <w:pPr>
        <w:pStyle w:val="ListParagraph"/>
        <w:numPr>
          <w:ilvl w:val="0"/>
          <w:numId w:val="1"/>
        </w:numPr>
        <w:spacing w:after="60"/>
      </w:pPr>
      <w:r>
        <w:t xml:space="preserve">Continuité &amp; incidents : 90/100 (5/5 réponses · 1P / 0N)</w:t>
      </w:r>
    </w:p>
    <w:p>
      <w:pPr>
        <w:pStyle w:val="ListParagraph"/>
        <w:numPr>
          <w:ilvl w:val="0"/>
          <w:numId w:val="1"/>
        </w:numPr>
        <w:spacing w:after="60"/>
      </w:pPr>
      <w:r>
        <w:t xml:space="preserve">Données personnelles &amp; RGPD : 83/100 (3/3 réponses · 1P / 0N)</w:t>
      </w:r>
    </w:p>
    <w:p>
      <w:pPr>
        <w:pStyle w:val="ListParagraph"/>
        <w:numPr>
          <w:ilvl w:val="0"/>
          <w:numId w:val="1"/>
        </w:numPr>
        <w:spacing w:after="60"/>
      </w:pPr>
      <w:r>
        <w:t xml:space="preserve">Prestataires &amp; cloud : 100/100 (3/3 réponses · 0P / 0N)</w:t>
      </w:r>
    </w:p>
    <w:p>
      <w:pPr>
        <w:pStyle w:val="ListParagraph"/>
        <w:numPr>
          <w:ilvl w:val="0"/>
          <w:numId w:val="1"/>
        </w:numPr>
        <w:spacing w:after="60"/>
      </w:pPr>
      <w:r>
        <w:t xml:space="preserve">Sensibilisation : 100/100 (1/1 réponses · 0P / 0N)</w:t>
      </w:r>
    </w:p>
    <w:p>
      <w:pPr>
        <w:pStyle w:val="ListParagraph"/>
        <w:numPr>
          <w:ilvl w:val="0"/>
          <w:numId w:val="1"/>
        </w:numPr>
        <w:spacing w:after="60"/>
      </w:pPr>
      <w:r>
        <w:t xml:space="preserve">Conformité 2026+ : 90/100 (5/5 réponses · 1P / 0N)</w:t>
      </w:r>
    </w:p>
    <w:p>
      <w:pPr>
        <w:pStyle w:val="Heading3"/>
        <w:spacing w:after="80" w:before="200"/>
      </w:pPr>
      <w:r>
        <w:rPr>
          <w:b/>
          <w:bCs/>
          <w:sz w:val="22"/>
          <w:szCs w:val="22"/>
        </w:rPr>
        <w:t xml:space="preserve">Diag IT N2 — détail par catégorie</w:t>
      </w:r>
    </w:p>
    <w:p>
      <w:pPr>
        <w:pStyle w:val="ListParagraph"/>
        <w:numPr>
          <w:ilvl w:val="0"/>
          <w:numId w:val="1"/>
        </w:numPr>
        <w:spacing w:after="60"/>
      </w:pPr>
      <w:r>
        <w:t xml:space="preserve">Identité &amp; accès : 71/100 (7/7 réponses · 2P / 1N)</w:t>
      </w:r>
    </w:p>
    <w:p>
      <w:pPr>
        <w:pStyle w:val="ListParagraph"/>
        <w:numPr>
          <w:ilvl w:val="0"/>
          <w:numId w:val="1"/>
        </w:numPr>
        <w:spacing w:after="60"/>
      </w:pPr>
      <w:r>
        <w:t xml:space="preserve">Gouvernance &amp; organisation : 71/100 (7/7 réponses · 2P / 1N)</w:t>
      </w:r>
    </w:p>
    <w:p>
      <w:pPr>
        <w:pStyle w:val="ListParagraph"/>
        <w:numPr>
          <w:ilvl w:val="0"/>
          <w:numId w:val="1"/>
        </w:numPr>
        <w:spacing w:after="60"/>
      </w:pPr>
      <w:r>
        <w:t xml:space="preserve">Sécurité réseau : 75/100 (6/6 réponses · 1P / 1N)</w:t>
      </w:r>
    </w:p>
    <w:p>
      <w:pPr>
        <w:pStyle w:val="ListParagraph"/>
        <w:numPr>
          <w:ilvl w:val="0"/>
          <w:numId w:val="1"/>
        </w:numPr>
        <w:spacing w:after="60"/>
      </w:pPr>
      <w:r>
        <w:t xml:space="preserve">Postes &amp; mobilité : 67/100 (6/6 réponses · 2P / 1N)</w:t>
      </w:r>
    </w:p>
    <w:p>
      <w:pPr>
        <w:pStyle w:val="ListParagraph"/>
        <w:numPr>
          <w:ilvl w:val="0"/>
          <w:numId w:val="1"/>
        </w:numPr>
        <w:spacing w:after="60"/>
      </w:pPr>
      <w:r>
        <w:t xml:space="preserve">Supervision &amp; détection : 60/100 (5/5 réponses · 2P / 1N)</w:t>
      </w:r>
    </w:p>
    <w:p>
      <w:pPr>
        <w:pStyle w:val="ListParagraph"/>
        <w:numPr>
          <w:ilvl w:val="0"/>
          <w:numId w:val="1"/>
        </w:numPr>
        <w:spacing w:after="60"/>
      </w:pPr>
      <w:r>
        <w:t xml:space="preserve">Sauvegardes &amp; continuité : 67/100 (6/6 réponses · 2P / 1N)</w:t>
      </w:r>
    </w:p>
    <w:p>
      <w:pPr>
        <w:pStyle w:val="ListParagraph"/>
        <w:numPr>
          <w:ilvl w:val="0"/>
          <w:numId w:val="1"/>
        </w:numPr>
        <w:spacing w:after="60"/>
      </w:pPr>
      <w:r>
        <w:t xml:space="preserve">Infrastructure &amp; architecture : 71/100 (7/7 réponses · 2P / 1N)</w:t>
      </w:r>
    </w:p>
    <w:p>
      <w:pPr>
        <w:pStyle w:val="ListParagraph"/>
        <w:numPr>
          <w:ilvl w:val="0"/>
          <w:numId w:val="1"/>
        </w:numPr>
        <w:spacing w:after="60"/>
      </w:pPr>
      <w:r>
        <w:t xml:space="preserve">Messagerie &amp; collaboration : 90/100 (5/5 réponses · 1P / 0N)</w:t>
      </w:r>
    </w:p>
    <w:p>
      <w:pPr>
        <w:pStyle w:val="ListParagraph"/>
        <w:numPr>
          <w:ilvl w:val="0"/>
          <w:numId w:val="1"/>
        </w:numPr>
        <w:spacing w:after="60"/>
      </w:pPr>
      <w:r>
        <w:t xml:space="preserve">Cloud &amp; SaaS : 67/100 (6/6 réponses · 2P / 1N)</w:t>
      </w:r>
    </w:p>
    <w:p>
      <w:pPr>
        <w:pStyle w:val="ListParagraph"/>
        <w:numPr>
          <w:ilvl w:val="0"/>
          <w:numId w:val="1"/>
        </w:numPr>
        <w:spacing w:after="60"/>
      </w:pPr>
      <w:r>
        <w:t xml:space="preserve">Données &amp; RGPD : 71/100 (7/7 réponses · 2P / 1N)</w:t>
      </w:r>
    </w:p>
    <w:p>
      <w:pPr>
        <w:pStyle w:val="ListParagraph"/>
        <w:numPr>
          <w:ilvl w:val="0"/>
          <w:numId w:val="1"/>
        </w:numPr>
        <w:spacing w:after="60"/>
      </w:pPr>
      <w:r>
        <w:t xml:space="preserve">Prestataires &amp; contrats : 83/100 (6/6 réponses · 2P / 0N)</w:t>
      </w:r>
    </w:p>
    <w:p>
      <w:pPr>
        <w:pStyle w:val="ListParagraph"/>
        <w:numPr>
          <w:ilvl w:val="0"/>
          <w:numId w:val="1"/>
        </w:numPr>
        <w:spacing w:after="60"/>
      </w:pPr>
      <w:r>
        <w:t xml:space="preserve">Sensibilisation &amp; culture : 75/100 (6/6 réponses · 1P / 1N)</w:t>
      </w:r>
    </w:p>
    <w:p>
      <w:pPr>
        <w:pStyle w:val="ListParagraph"/>
        <w:numPr>
          <w:ilvl w:val="0"/>
          <w:numId w:val="1"/>
        </w:numPr>
        <w:spacing w:after="60"/>
      </w:pPr>
      <w:r>
        <w:t xml:space="preserve">IA &amp; innovation : 50/100 (1/6 réponses · 1P / 0N)</w:t>
      </w:r>
    </w:p>
    <w:p>
      <w:pPr>
        <w:pStyle w:val="Heading3"/>
        <w:spacing w:after="80" w:before="200"/>
      </w:pPr>
      <w:r>
        <w:rPr>
          <w:b/>
          <w:bCs/>
          <w:sz w:val="22"/>
          <w:szCs w:val="22"/>
        </w:rPr>
        <w:t xml:space="preserve">Modern Workplace — détail par catégorie</w:t>
      </w:r>
    </w:p>
    <w:p>
      <w:pPr>
        <w:pStyle w:val="ListParagraph"/>
        <w:numPr>
          <w:ilvl w:val="0"/>
          <w:numId w:val="1"/>
        </w:numPr>
        <w:spacing w:after="60"/>
      </w:pPr>
      <w:r>
        <w:t xml:space="preserve">Identité &amp; accès : 90/100 (5/5 réponses · 1P / 0N)</w:t>
      </w:r>
    </w:p>
    <w:p>
      <w:pPr>
        <w:pStyle w:val="ListParagraph"/>
        <w:numPr>
          <w:ilvl w:val="0"/>
          <w:numId w:val="1"/>
        </w:numPr>
        <w:spacing w:after="60"/>
      </w:pPr>
      <w:r>
        <w:t xml:space="preserve">Productivité &amp; collaboration : 90/100 (5/5 réponses · 1P / 0N)</w:t>
      </w:r>
    </w:p>
    <w:p>
      <w:pPr>
        <w:pStyle w:val="ListParagraph"/>
        <w:numPr>
          <w:ilvl w:val="0"/>
          <w:numId w:val="1"/>
        </w:numPr>
        <w:spacing w:after="60"/>
      </w:pPr>
      <w:r>
        <w:t xml:space="preserve">Endpoint &amp; sécurité poste : 83/100 (6/6 réponses · 2P / 0N)</w:t>
      </w:r>
    </w:p>
    <w:p>
      <w:pPr>
        <w:pStyle w:val="ListParagraph"/>
        <w:numPr>
          <w:ilvl w:val="0"/>
          <w:numId w:val="1"/>
        </w:numPr>
        <w:spacing w:after="60"/>
      </w:pPr>
      <w:r>
        <w:t xml:space="preserve">Communication &amp; visio : 90/100 (5/5 réponses · 1P / 0N)</w:t>
      </w:r>
    </w:p>
    <w:p>
      <w:pPr>
        <w:pStyle w:val="ListParagraph"/>
        <w:numPr>
          <w:ilvl w:val="0"/>
          <w:numId w:val="1"/>
        </w:numPr>
        <w:spacing w:after="60"/>
      </w:pPr>
      <w:r>
        <w:t xml:space="preserve">Stockage &amp; sauvegarde : 83/100 (6/6 réponses · 2P / 0N)</w:t>
      </w:r>
    </w:p>
    <w:p>
      <w:pPr>
        <w:pStyle w:val="ListParagraph"/>
        <w:numPr>
          <w:ilvl w:val="0"/>
          <w:numId w:val="1"/>
        </w:numPr>
        <w:spacing w:after="60"/>
      </w:pPr>
      <w:r>
        <w:t xml:space="preserve">Souveraineté &amp; conformité : 100/100 (1/8 réponses · 0P / 0N)</w:t>
      </w:r>
    </w:p>
    <w:p>
      <w:pPr>
        <w:pStyle w:val="Heading3"/>
        <w:spacing w:after="80" w:before="200"/>
      </w:pPr>
      <w:r>
        <w:rPr>
          <w:b/>
          <w:bCs/>
          <w:sz w:val="22"/>
          <w:szCs w:val="22"/>
        </w:rPr>
        <w:t xml:space="preserve">Zero Trust — détail par catégorie</w:t>
      </w:r>
    </w:p>
    <w:p>
      <w:pPr>
        <w:pStyle w:val="ListParagraph"/>
        <w:numPr>
          <w:ilvl w:val="0"/>
          <w:numId w:val="1"/>
        </w:numPr>
        <w:spacing w:after="60"/>
      </w:pPr>
      <w:r>
        <w:t xml:space="preserve">Identité : 78/100 (9/9 réponses · 4P / 0N)</w:t>
      </w:r>
    </w:p>
    <w:p>
      <w:pPr>
        <w:pStyle w:val="ListParagraph"/>
        <w:numPr>
          <w:ilvl w:val="0"/>
          <w:numId w:val="1"/>
        </w:numPr>
        <w:spacing w:after="60"/>
      </w:pPr>
      <w:r>
        <w:t xml:space="preserve">Appareils : 81/100 (8/8 réponses · 3P / 0N)</w:t>
      </w:r>
    </w:p>
    <w:p>
      <w:pPr>
        <w:pStyle w:val="ListParagraph"/>
        <w:numPr>
          <w:ilvl w:val="0"/>
          <w:numId w:val="1"/>
        </w:numPr>
        <w:spacing w:after="60"/>
      </w:pPr>
      <w:r>
        <w:t xml:space="preserve">Réseau : 83/100 (3/8 réponses · 1P / 0N)</w:t>
      </w:r>
    </w:p>
    <w:p>
      <w:pPr>
        <w:pStyle w:val="ListParagraph"/>
        <w:numPr>
          <w:ilvl w:val="0"/>
          <w:numId w:val="1"/>
        </w:numPr>
        <w:spacing w:after="60"/>
      </w:pPr>
      <w:r>
        <w:t xml:space="preserve">Applications : — (0/8 réponses · 0P / 0N)</w:t>
      </w:r>
    </w:p>
    <w:p>
      <w:pPr>
        <w:pStyle w:val="ListParagraph"/>
        <w:numPr>
          <w:ilvl w:val="0"/>
          <w:numId w:val="1"/>
        </w:numPr>
        <w:spacing w:after="60"/>
      </w:pPr>
      <w:r>
        <w:t xml:space="preserve">Données : — (0/8 réponses · 0P / 0N)</w:t>
      </w:r>
    </w:p>
    <w:p>
      <w:pPr>
        <w:pStyle w:val="ListParagraph"/>
        <w:numPr>
          <w:ilvl w:val="0"/>
          <w:numId w:val="1"/>
        </w:numPr>
        <w:spacing w:after="60"/>
      </w:pPr>
      <w:r>
        <w:t xml:space="preserve">Visibilité &amp; Automatisation : — (0/9 réponses · 0P / 0N)</w:t>
      </w:r>
    </w:p>
    <w:p>
      <w:pPr>
        <w:pStyle w:val="Heading3"/>
        <w:spacing w:after="80" w:before="200"/>
      </w:pPr>
      <w:r>
        <w:rPr>
          <w:b/>
          <w:bCs/>
          <w:sz w:val="22"/>
          <w:szCs w:val="22"/>
        </w:rPr>
        <w:t xml:space="preserve">IA &amp; Automatisations — détail par catégorie</w:t>
      </w:r>
    </w:p>
    <w:p>
      <w:pPr>
        <w:pStyle w:val="ListParagraph"/>
        <w:numPr>
          <w:ilvl w:val="0"/>
          <w:numId w:val="1"/>
        </w:numPr>
        <w:spacing w:after="60"/>
      </w:pPr>
      <w:r>
        <w:t xml:space="preserve">Stratégie &amp; cas d'usage : — (0/6 réponses · 0P / 0N)</w:t>
      </w:r>
    </w:p>
    <w:p>
      <w:pPr>
        <w:pStyle w:val="ListParagraph"/>
        <w:numPr>
          <w:ilvl w:val="0"/>
          <w:numId w:val="1"/>
        </w:numPr>
        <w:spacing w:after="60"/>
      </w:pPr>
      <w:r>
        <w:t xml:space="preserve">Gouvernance &amp; AI Act : — (0/7 réponses · 0P / 0N)</w:t>
      </w:r>
    </w:p>
    <w:p>
      <w:pPr>
        <w:pStyle w:val="ListParagraph"/>
        <w:numPr>
          <w:ilvl w:val="0"/>
          <w:numId w:val="1"/>
        </w:numPr>
        <w:spacing w:after="60"/>
      </w:pPr>
      <w:r>
        <w:t xml:space="preserve">Données &amp; qualité : — (0/6 réponses · 0P / 0N)</w:t>
      </w:r>
    </w:p>
    <w:p>
      <w:pPr>
        <w:pStyle w:val="ListParagraph"/>
        <w:numPr>
          <w:ilvl w:val="0"/>
          <w:numId w:val="1"/>
        </w:numPr>
        <w:spacing w:after="60"/>
      </w:pPr>
      <w:r>
        <w:t xml:space="preserve">Sécurité IA : — (0/7 réponses · 0P / 0N)</w:t>
      </w:r>
    </w:p>
    <w:p>
      <w:pPr>
        <w:pStyle w:val="ListParagraph"/>
        <w:numPr>
          <w:ilvl w:val="0"/>
          <w:numId w:val="1"/>
        </w:numPr>
        <w:spacing w:after="60"/>
      </w:pPr>
      <w:r>
        <w:t xml:space="preserve">Adoption : — (0/4 réponses · 0P / 0N)</w:t>
      </w:r>
    </w:p>
    <w:p>
      <w:pPr>
        <w:pStyle w:val="ListParagraph"/>
        <w:numPr>
          <w:ilvl w:val="0"/>
          <w:numId w:val="1"/>
        </w:numPr>
        <w:spacing w:after="60"/>
      </w:pPr>
      <w:r>
        <w:t xml:space="preserve">Automatisation processus : — (0/6 réponses · 0P / 0N)</w:t>
      </w:r>
    </w:p>
    <w:p>
      <w:pPr>
        <w:pStyle w:val="ListParagraph"/>
        <w:numPr>
          <w:ilvl w:val="0"/>
          <w:numId w:val="1"/>
        </w:numPr>
        <w:spacing w:after="60"/>
      </w:pPr>
      <w:r>
        <w:t xml:space="preserve">Performance &amp; FinOps IA : — (0/8 réponses · 0P / 0N)</w:t>
      </w:r>
    </w:p>
    <w:p>
      <w:pPr>
        <w:pStyle w:val="ListParagraph"/>
        <w:numPr>
          <w:ilvl w:val="0"/>
          <w:numId w:val="1"/>
        </w:numPr>
        <w:spacing w:after="60"/>
      </w:pPr>
      <w:r>
        <w:t xml:space="preserve">IA locale &amp; souveraineté : — (0/2 réponses · 0P / 0N)</w:t>
      </w:r>
    </w:p>
    <w:p>
      <w:pPr>
        <w:pStyle w:val="ListParagraph"/>
        <w:numPr>
          <w:ilvl w:val="0"/>
          <w:numId w:val="1"/>
        </w:numPr>
        <w:spacing w:after="60"/>
      </w:pPr>
      <w:r>
        <w:t xml:space="preserve">IA agentique &amp; assistants : — (0/4 réponses · 0P / 0N)</w:t>
      </w:r>
    </w:p>
    <w:p>
      <w:pPr>
        <w:pStyle w:val="ListParagraph"/>
        <w:numPr>
          <w:ilvl w:val="0"/>
          <w:numId w:val="1"/>
        </w:numPr>
        <w:spacing w:after="60"/>
      </w:pPr>
      <w:r>
        <w:t xml:space="preserve">Développement assisté par IA : — (0/3 réponses · 0P / 0N)</w:t>
      </w:r>
    </w:p>
    <w:p>
      <w:pPr>
        <w:pStyle w:val="ListParagraph"/>
        <w:numPr>
          <w:ilvl w:val="0"/>
          <w:numId w:val="1"/>
        </w:numPr>
        <w:spacing w:after="60"/>
      </w:pPr>
      <w:r>
        <w:t xml:space="preserve">Vibe coding &amp; citizen development : — (0/3 réponses · 0P / 0N)</w:t>
      </w:r>
    </w:p>
    <w:p>
      <w:pPr>
        <w:pStyle w:val="Heading3"/>
        <w:spacing w:after="80" w:before="200"/>
      </w:pPr>
      <w:r>
        <w:rPr>
          <w:b/>
          <w:bCs/>
          <w:sz w:val="22"/>
          <w:szCs w:val="22"/>
        </w:rPr>
        <w:t xml:space="preserve">Entretien dirigeant — détail par catégorie</w:t>
      </w:r>
    </w:p>
    <w:p>
      <w:pPr>
        <w:pStyle w:val="ListParagraph"/>
        <w:numPr>
          <w:ilvl w:val="0"/>
          <w:numId w:val="1"/>
        </w:numPr>
        <w:spacing w:after="60"/>
      </w:pPr>
      <w:r>
        <w:t xml:space="preserve">Irritants : — (0/1 réponses · 0P / 0N)</w:t>
      </w:r>
    </w:p>
    <w:p>
      <w:pPr>
        <w:pStyle w:val="ListParagraph"/>
        <w:numPr>
          <w:ilvl w:val="0"/>
          <w:numId w:val="1"/>
        </w:numPr>
        <w:spacing w:after="60"/>
      </w:pPr>
      <w:r>
        <w:t xml:space="preserve">Continuité : — (0/1 réponses · 0P / 0N)</w:t>
      </w:r>
    </w:p>
    <w:p>
      <w:pPr>
        <w:pStyle w:val="ListParagraph"/>
        <w:numPr>
          <w:ilvl w:val="0"/>
          <w:numId w:val="1"/>
        </w:numPr>
        <w:spacing w:after="60"/>
      </w:pPr>
      <w:r>
        <w:t xml:space="preserve">Vision : — (0/1 réponses · 0P / 0N)</w:t>
      </w:r>
    </w:p>
    <w:p>
      <w:pPr>
        <w:pStyle w:val="ListParagraph"/>
        <w:numPr>
          <w:ilvl w:val="0"/>
          <w:numId w:val="1"/>
        </w:numPr>
        <w:spacing w:after="60"/>
      </w:pPr>
      <w:r>
        <w:t xml:space="preserve">Pilotage : — (0/1 réponses · 0P / 0N)</w:t>
      </w:r>
    </w:p>
    <w:p>
      <w:pPr>
        <w:pStyle w:val="ListParagraph"/>
        <w:numPr>
          <w:ilvl w:val="0"/>
          <w:numId w:val="1"/>
        </w:numPr>
        <w:spacing w:after="60"/>
      </w:pPr>
      <w:r>
        <w:t xml:space="preserve">Décision : — (0/1 réponses · 0P / 0N)</w:t>
      </w:r>
    </w:p>
    <w:p>
      <w:pPr>
        <w:pStyle w:val="ListParagraph"/>
        <w:numPr>
          <w:ilvl w:val="0"/>
          <w:numId w:val="1"/>
        </w:numPr>
        <w:spacing w:after="60"/>
      </w:pPr>
      <w:r>
        <w:t xml:space="preserve">Posture : — (0/1 réponses · 0P / 0N)</w:t>
      </w:r>
    </w:p>
    <w:p>
      <w:pPr>
        <w:pStyle w:val="ListParagraph"/>
        <w:numPr>
          <w:ilvl w:val="0"/>
          <w:numId w:val="1"/>
        </w:numPr>
        <w:spacing w:after="60"/>
      </w:pPr>
      <w:r>
        <w:t xml:space="preserve">Dépendances : — (0/1 réponses · 0P / 0N)</w:t>
      </w:r>
    </w:p>
    <w:p>
      <w:pPr>
        <w:pStyle w:val="ListParagraph"/>
        <w:numPr>
          <w:ilvl w:val="0"/>
          <w:numId w:val="1"/>
        </w:numPr>
        <w:spacing w:after="60"/>
      </w:pPr>
      <w:r>
        <w:t xml:space="preserve">Incidents : — (0/1 réponses · 0P / 0N)</w:t>
      </w:r>
    </w:p>
    <w:p>
      <w:pPr>
        <w:pStyle w:val="ListParagraph"/>
        <w:numPr>
          <w:ilvl w:val="0"/>
          <w:numId w:val="1"/>
        </w:numPr>
        <w:spacing w:after="60"/>
      </w:pPr>
      <w:r>
        <w:t xml:space="preserve">ROI : — (0/1 réponses · 0P / 0N)</w:t>
      </w:r>
    </w:p>
    <w:p>
      <w:pPr>
        <w:pStyle w:val="ListParagraph"/>
        <w:numPr>
          <w:ilvl w:val="0"/>
          <w:numId w:val="1"/>
        </w:numPr>
        <w:spacing w:after="60"/>
      </w:pPr>
      <w:r>
        <w:t xml:space="preserve">Trajectoire : — (0/1 réponses · 0P / 0N)</w:t>
      </w:r>
    </w:p>
    <w:p>
      <w:pPr>
        <w:pStyle w:val="ListParagraph"/>
        <w:numPr>
          <w:ilvl w:val="0"/>
          <w:numId w:val="1"/>
        </w:numPr>
        <w:spacing w:after="60"/>
      </w:pPr>
      <w:r>
        <w:t xml:space="preserve">Mandat : — (0/1 réponses · 0P / 0N)</w:t>
      </w:r>
    </w:p>
    <w:p>
      <w:pPr>
        <w:pStyle w:val="ListParagraph"/>
        <w:numPr>
          <w:ilvl w:val="0"/>
          <w:numId w:val="1"/>
        </w:numPr>
        <w:spacing w:after="60"/>
      </w:pPr>
      <w:r>
        <w:t xml:space="preserve">Clôture : — (0/3 réponses · 0P / 0N)</w:t>
      </w:r>
    </w:p>
    <w:p>
      <w:pPr>
        <w:pStyle w:val="Heading3"/>
        <w:spacing w:after="80" w:before="200"/>
      </w:pPr>
      <w:r>
        <w:rPr>
          <w:b/>
          <w:bCs/>
          <w:sz w:val="22"/>
          <w:szCs w:val="22"/>
        </w:rPr>
        <w:t xml:space="preserve">France Num — détail par catégorie</w:t>
      </w:r>
    </w:p>
    <w:p>
      <w:pPr>
        <w:pStyle w:val="ListParagraph"/>
        <w:numPr>
          <w:ilvl w:val="0"/>
          <w:numId w:val="1"/>
        </w:numPr>
        <w:spacing w:after="60"/>
      </w:pPr>
      <w:r>
        <w:t xml:space="preserve">Présence en ligne : — (0/4 réponses · 0P / 0N)</w:t>
      </w:r>
    </w:p>
    <w:p>
      <w:pPr>
        <w:pStyle w:val="ListParagraph"/>
        <w:numPr>
          <w:ilvl w:val="0"/>
          <w:numId w:val="1"/>
        </w:numPr>
        <w:spacing w:after="60"/>
      </w:pPr>
      <w:r>
        <w:t xml:space="preserve">Relation client &amp; CRM : — (0/4 réponses · 0P / 0N)</w:t>
      </w:r>
    </w:p>
    <w:p>
      <w:pPr>
        <w:pStyle w:val="ListParagraph"/>
        <w:numPr>
          <w:ilvl w:val="0"/>
          <w:numId w:val="1"/>
        </w:numPr>
        <w:spacing w:after="60"/>
      </w:pPr>
      <w:r>
        <w:t xml:space="preserve">Vente en ligne &amp; canaux digitaux : — (0/4 réponses · 0P / 0N)</w:t>
      </w:r>
    </w:p>
    <w:p>
      <w:pPr>
        <w:pStyle w:val="ListParagraph"/>
        <w:numPr>
          <w:ilvl w:val="0"/>
          <w:numId w:val="1"/>
        </w:numPr>
        <w:spacing w:after="60"/>
      </w:pPr>
      <w:r>
        <w:t xml:space="preserve">Processus &amp; opérations numériques : — (0/4 réponses · 0P / 0N)</w:t>
      </w:r>
    </w:p>
    <w:p>
      <w:pPr>
        <w:pStyle w:val="ListParagraph"/>
        <w:numPr>
          <w:ilvl w:val="0"/>
          <w:numId w:val="1"/>
        </w:numPr>
        <w:spacing w:after="60"/>
      </w:pPr>
      <w:r>
        <w:t xml:space="preserve">Sécurité numérique de base : — (0/4 réponses · 0P / 0N)</w:t>
      </w:r>
    </w:p>
    <w:p>
      <w:pPr>
        <w:pStyle w:val="ListParagraph"/>
        <w:numPr>
          <w:ilvl w:val="0"/>
          <w:numId w:val="1"/>
        </w:numPr>
        <w:spacing w:after="60"/>
      </w:pPr>
      <w:r>
        <w:t xml:space="preserve">Données &amp; pilotage : — (0/4 réponses · 0P / 0N)</w:t>
      </w:r>
    </w:p>
    <w:p>
      <w:pPr>
        <w:pStyle w:val="Heading3"/>
        <w:spacing w:after="80" w:before="200"/>
      </w:pPr>
      <w:r>
        <w:rPr>
          <w:b/>
          <w:bCs/>
          <w:sz w:val="22"/>
          <w:szCs w:val="22"/>
        </w:rPr>
        <w:t xml:space="preserve">PCA/PRA — détail par catégorie</w:t>
      </w:r>
    </w:p>
    <w:p>
      <w:pPr>
        <w:pStyle w:val="ListParagraph"/>
        <w:numPr>
          <w:ilvl w:val="0"/>
          <w:numId w:val="1"/>
        </w:numPr>
        <w:spacing w:after="60"/>
      </w:pPr>
      <w:r>
        <w:t xml:space="preserve">Gouvernance &amp; périmètre PCA/PRA : — (0/3 réponses · 0P / 0N)</w:t>
      </w:r>
    </w:p>
    <w:p>
      <w:pPr>
        <w:pStyle w:val="ListParagraph"/>
        <w:numPr>
          <w:ilvl w:val="0"/>
          <w:numId w:val="1"/>
        </w:numPr>
        <w:spacing w:after="60"/>
      </w:pPr>
      <w:r>
        <w:t xml:space="preserve">Analyse d'impact BIA : — (0/3 réponses · 0P / 0N)</w:t>
      </w:r>
    </w:p>
    <w:p>
      <w:pPr>
        <w:pStyle w:val="ListParagraph"/>
        <w:numPr>
          <w:ilvl w:val="0"/>
          <w:numId w:val="1"/>
        </w:numPr>
        <w:spacing w:after="60"/>
      </w:pPr>
      <w:r>
        <w:t xml:space="preserve">Stratégies de continuité : — (0/3 réponses · 0P / 0N)</w:t>
      </w:r>
    </w:p>
    <w:p>
      <w:pPr>
        <w:pStyle w:val="ListParagraph"/>
        <w:numPr>
          <w:ilvl w:val="0"/>
          <w:numId w:val="1"/>
        </w:numPr>
        <w:spacing w:after="60"/>
      </w:pPr>
      <w:r>
        <w:t xml:space="preserve">Plans PCA/PRA documentation : — (0/2 réponses · 0P / 0N)</w:t>
      </w:r>
    </w:p>
    <w:p>
      <w:pPr>
        <w:pStyle w:val="ListParagraph"/>
        <w:numPr>
          <w:ilvl w:val="0"/>
          <w:numId w:val="1"/>
        </w:numPr>
        <w:spacing w:after="60"/>
      </w:pPr>
      <w:r>
        <w:t xml:space="preserve">Tests &amp; exercices : — (0/3 réponses · 0P / 0N)</w:t>
      </w:r>
    </w:p>
    <w:p>
      <w:pPr>
        <w:pStyle w:val="ListParagraph"/>
        <w:numPr>
          <w:ilvl w:val="0"/>
          <w:numId w:val="1"/>
        </w:numPr>
        <w:spacing w:after="60"/>
      </w:pPr>
      <w:r>
        <w:t xml:space="preserve">Intégration cyber : — (0/1 réponses · 0P / 0N)</w:t>
      </w:r>
    </w:p>
    <w:p>
      <w:pPr>
        <w:pStyle w:val="Heading3"/>
        <w:spacing w:after="80" w:before="200"/>
      </w:pPr>
      <w:r>
        <w:rPr>
          <w:b/>
          <w:bCs/>
          <w:sz w:val="22"/>
          <w:szCs w:val="22"/>
        </w:rPr>
        <w:t xml:space="preserve">Adoption ADKAR — détail par catégorie</w:t>
      </w:r>
    </w:p>
    <w:p>
      <w:pPr>
        <w:pStyle w:val="ListParagraph"/>
        <w:numPr>
          <w:ilvl w:val="0"/>
          <w:numId w:val="1"/>
        </w:numPr>
        <w:spacing w:after="60"/>
      </w:pPr>
      <w:r>
        <w:t xml:space="preserve">Awareness : — (0/3 réponses · 0P / 0N)</w:t>
      </w:r>
    </w:p>
    <w:p>
      <w:pPr>
        <w:pStyle w:val="ListParagraph"/>
        <w:numPr>
          <w:ilvl w:val="0"/>
          <w:numId w:val="1"/>
        </w:numPr>
        <w:spacing w:after="60"/>
      </w:pPr>
      <w:r>
        <w:t xml:space="preserve">Desire : — (0/3 réponses · 0P / 0N)</w:t>
      </w:r>
    </w:p>
    <w:p>
      <w:pPr>
        <w:pStyle w:val="ListParagraph"/>
        <w:numPr>
          <w:ilvl w:val="0"/>
          <w:numId w:val="1"/>
        </w:numPr>
        <w:spacing w:after="60"/>
      </w:pPr>
      <w:r>
        <w:t xml:space="preserve">Knowledge : — (0/3 réponses · 0P / 0N)</w:t>
      </w:r>
    </w:p>
    <w:p>
      <w:pPr>
        <w:pStyle w:val="ListParagraph"/>
        <w:numPr>
          <w:ilvl w:val="0"/>
          <w:numId w:val="1"/>
        </w:numPr>
        <w:spacing w:after="60"/>
      </w:pPr>
      <w:r>
        <w:t xml:space="preserve">Ability : — (0/3 réponses · 0P / 0N)</w:t>
      </w:r>
    </w:p>
    <w:p>
      <w:pPr>
        <w:pStyle w:val="ListParagraph"/>
        <w:numPr>
          <w:ilvl w:val="0"/>
          <w:numId w:val="1"/>
        </w:numPr>
        <w:spacing w:after="60"/>
      </w:pPr>
      <w:r>
        <w:t xml:space="preserve">Reinforcement : — (0/3 réponses · 0P / 0N)</w:t>
      </w:r>
    </w:p>
    <w:p>
      <w:pPr>
        <w:pStyle w:val="Heading3"/>
        <w:spacing w:after="80" w:before="200"/>
      </w:pPr>
      <w:r>
        <w:rPr>
          <w:b/>
          <w:bCs/>
          <w:sz w:val="22"/>
          <w:szCs w:val="22"/>
        </w:rPr>
        <w:t xml:space="preserve">Zachman SI — détail par catégorie</w:t>
      </w:r>
    </w:p>
    <w:p>
      <w:pPr>
        <w:pStyle w:val="ListParagraph"/>
        <w:numPr>
          <w:ilvl w:val="0"/>
          <w:numId w:val="1"/>
        </w:numPr>
        <w:spacing w:after="60"/>
      </w:pPr>
      <w:r>
        <w:t xml:space="preserve">Données (What) : — (0/5 réponses · 0P / 0N)</w:t>
      </w:r>
    </w:p>
    <w:p>
      <w:pPr>
        <w:pStyle w:val="ListParagraph"/>
        <w:numPr>
          <w:ilvl w:val="0"/>
          <w:numId w:val="1"/>
        </w:numPr>
        <w:spacing w:after="60"/>
      </w:pPr>
      <w:r>
        <w:t xml:space="preserve">Fonctions (How) : — (0/5 réponses · 0P / 0N)</w:t>
      </w:r>
    </w:p>
    <w:p>
      <w:pPr>
        <w:pStyle w:val="ListParagraph"/>
        <w:numPr>
          <w:ilvl w:val="0"/>
          <w:numId w:val="1"/>
        </w:numPr>
        <w:spacing w:after="60"/>
      </w:pPr>
      <w:r>
        <w:t xml:space="preserve">Réseaux (Where) : — (0/5 réponses · 0P / 0N)</w:t>
      </w:r>
    </w:p>
    <w:p>
      <w:pPr>
        <w:pStyle w:val="ListParagraph"/>
        <w:numPr>
          <w:ilvl w:val="0"/>
          <w:numId w:val="1"/>
        </w:numPr>
        <w:spacing w:after="60"/>
      </w:pPr>
      <w:r>
        <w:t xml:space="preserve">Personnes (Who) : — (0/5 réponses · 0P / 0N)</w:t>
      </w:r>
    </w:p>
    <w:p>
      <w:pPr>
        <w:pStyle w:val="ListParagraph"/>
        <w:numPr>
          <w:ilvl w:val="0"/>
          <w:numId w:val="1"/>
        </w:numPr>
        <w:spacing w:after="60"/>
      </w:pPr>
      <w:r>
        <w:t xml:space="preserve">Temps (When) : — (0/5 réponses · 0P / 0N)</w:t>
      </w:r>
    </w:p>
    <w:p>
      <w:pPr>
        <w:pStyle w:val="ListParagraph"/>
        <w:numPr>
          <w:ilvl w:val="0"/>
          <w:numId w:val="1"/>
        </w:numPr>
        <w:spacing w:after="60"/>
      </w:pPr>
      <w:r>
        <w:t xml:space="preserve">Motivations (Why) : — (0/5 réponses · 0P / 0N)</w:t>
      </w:r>
    </w:p>
    <w:p>
      <w:pPr>
        <w:pStyle w:val="Heading3"/>
        <w:spacing w:after="80" w:before="200"/>
      </w:pPr>
      <w:r>
        <w:rPr>
          <w:b/>
          <w:bCs/>
          <w:sz w:val="22"/>
          <w:szCs w:val="22"/>
        </w:rPr>
        <w:t xml:space="preserve">RGPD — détail par catégorie</w:t>
      </w:r>
    </w:p>
    <w:p>
      <w:pPr>
        <w:pStyle w:val="ListParagraph"/>
        <w:numPr>
          <w:ilvl w:val="0"/>
          <w:numId w:val="1"/>
        </w:numPr>
        <w:spacing w:after="60"/>
      </w:pPr>
      <w:r>
        <w:t xml:space="preserve">Pilotage de la protection des données : 75/100 (2/2 réponses · 1P / 0N)</w:t>
      </w:r>
    </w:p>
    <w:p>
      <w:pPr>
        <w:pStyle w:val="ListParagraph"/>
        <w:numPr>
          <w:ilvl w:val="0"/>
          <w:numId w:val="1"/>
        </w:numPr>
        <w:spacing w:after="60"/>
      </w:pPr>
      <w:r>
        <w:t xml:space="preserve">Cartographie &amp; registre des traitements : 100/100 (2/2 réponses · 0P / 0N)</w:t>
      </w:r>
    </w:p>
    <w:p>
      <w:pPr>
        <w:pStyle w:val="ListParagraph"/>
        <w:numPr>
          <w:ilvl w:val="0"/>
          <w:numId w:val="1"/>
        </w:numPr>
        <w:spacing w:after="60"/>
      </w:pPr>
      <w:r>
        <w:t xml:space="preserve">Analyse d'impact &amp; gestion des risques (DPIA) : 75/100 (2/2 réponses · 1P / 0N)</w:t>
      </w:r>
    </w:p>
    <w:p>
      <w:pPr>
        <w:pStyle w:val="ListParagraph"/>
        <w:numPr>
          <w:ilvl w:val="0"/>
          <w:numId w:val="1"/>
        </w:numPr>
        <w:spacing w:after="60"/>
      </w:pPr>
      <w:r>
        <w:t xml:space="preserve">Gestion des droits des personnes : 100/100 (2/2 réponses · 0P / 0N)</w:t>
      </w:r>
    </w:p>
    <w:p>
      <w:pPr>
        <w:pStyle w:val="ListParagraph"/>
        <w:numPr>
          <w:ilvl w:val="0"/>
          <w:numId w:val="1"/>
        </w:numPr>
        <w:spacing w:after="60"/>
      </w:pPr>
      <w:r>
        <w:t xml:space="preserve">Information &amp; transparence : 75/100 (2/2 réponses · 1P / 0N)</w:t>
      </w:r>
    </w:p>
    <w:p>
      <w:pPr>
        <w:pStyle w:val="ListParagraph"/>
        <w:numPr>
          <w:ilvl w:val="0"/>
          <w:numId w:val="1"/>
        </w:numPr>
        <w:spacing w:after="60"/>
      </w:pPr>
      <w:r>
        <w:t xml:space="preserve">Sécurité des données : 100/100 (2/2 réponses · 0P / 0N)</w:t>
      </w:r>
    </w:p>
    <w:p>
      <w:pPr>
        <w:pStyle w:val="ListParagraph"/>
        <w:numPr>
          <w:ilvl w:val="0"/>
          <w:numId w:val="1"/>
        </w:numPr>
        <w:spacing w:after="60"/>
      </w:pPr>
      <w:r>
        <w:t xml:space="preserve">Encadrement sous-traitants &amp; transferts : 75/100 (2/2 réponses · 1P / 0N)</w:t>
      </w:r>
    </w:p>
    <w:p>
      <w:pPr>
        <w:pStyle w:val="ListParagraph"/>
        <w:numPr>
          <w:ilvl w:val="0"/>
          <w:numId w:val="1"/>
        </w:numPr>
        <w:spacing w:after="60"/>
      </w:pPr>
      <w:r>
        <w:t xml:space="preserve">Sensibilisation &amp; culture RGPD : 100/100 (2/2 réponses · 0P / 0N)</w:t>
      </w:r>
    </w:p>
    <w:p>
      <w:pPr>
        <w:pStyle w:val="Heading3"/>
        <w:spacing w:after="80" w:before="200"/>
      </w:pPr>
      <w:r>
        <w:rPr>
          <w:b/>
          <w:bCs/>
          <w:sz w:val="22"/>
          <w:szCs w:val="22"/>
        </w:rPr>
        <w:t xml:space="preserve">Gestion risques — détail par catégorie</w:t>
      </w:r>
    </w:p>
    <w:p>
      <w:pPr>
        <w:pStyle w:val="ListParagraph"/>
        <w:numPr>
          <w:ilvl w:val="0"/>
          <w:numId w:val="1"/>
        </w:numPr>
        <w:spacing w:after="60"/>
      </w:pPr>
      <w:r>
        <w:t xml:space="preserve">Gouvernance &amp; politique risques : 75/100 (2/2 réponses · 1P / 0N)</w:t>
      </w:r>
    </w:p>
    <w:p>
      <w:pPr>
        <w:pStyle w:val="ListParagraph"/>
        <w:numPr>
          <w:ilvl w:val="0"/>
          <w:numId w:val="1"/>
        </w:numPr>
        <w:spacing w:after="60"/>
      </w:pPr>
      <w:r>
        <w:t xml:space="preserve">Méthodologie &amp; approche : 75/100 (2/2 réponses · 1P / 0N)</w:t>
      </w:r>
    </w:p>
    <w:p>
      <w:pPr>
        <w:pStyle w:val="ListParagraph"/>
        <w:numPr>
          <w:ilvl w:val="0"/>
          <w:numId w:val="1"/>
        </w:numPr>
        <w:spacing w:after="60"/>
      </w:pPr>
      <w:r>
        <w:t xml:space="preserve">Registre des risques : 100/100 (2/2 réponses · 0P / 0N)</w:t>
      </w:r>
    </w:p>
    <w:p>
      <w:pPr>
        <w:pStyle w:val="ListParagraph"/>
        <w:numPr>
          <w:ilvl w:val="0"/>
          <w:numId w:val="1"/>
        </w:numPr>
        <w:spacing w:after="60"/>
      </w:pPr>
      <w:r>
        <w:t xml:space="preserve">Traitement des risques : 75/100 (2/2 réponses · 1P / 0N)</w:t>
      </w:r>
    </w:p>
    <w:p>
      <w:pPr>
        <w:pStyle w:val="ListParagraph"/>
        <w:numPr>
          <w:ilvl w:val="0"/>
          <w:numId w:val="1"/>
        </w:numPr>
        <w:spacing w:after="60"/>
      </w:pPr>
      <w:r>
        <w:t xml:space="preserve">Suivi &amp; revue : 75/100 (2/2 réponses · 1P / 0N)</w:t>
      </w:r>
    </w:p>
    <w:p>
      <w:pPr>
        <w:pStyle w:val="ListParagraph"/>
        <w:numPr>
          <w:ilvl w:val="0"/>
          <w:numId w:val="1"/>
        </w:numPr>
        <w:spacing w:after="60"/>
      </w:pPr>
      <w:r>
        <w:t xml:space="preserve">Intégration décisionnelle : 100/100 (2/2 réponses · 0P / 0N)</w:t>
      </w:r>
    </w:p>
    <w:p>
      <w:pPr>
        <w:pStyle w:val="Heading3"/>
        <w:spacing w:after="80" w:before="200"/>
      </w:pPr>
      <w:r>
        <w:rPr>
          <w:b/>
          <w:bCs/>
          <w:sz w:val="22"/>
          <w:szCs w:val="22"/>
        </w:rPr>
        <w:t xml:space="preserve">Gouvernance IT — détail par catégorie</w:t>
      </w:r>
    </w:p>
    <w:p>
      <w:pPr>
        <w:pStyle w:val="ListParagraph"/>
        <w:numPr>
          <w:ilvl w:val="0"/>
          <w:numId w:val="1"/>
        </w:numPr>
        <w:spacing w:after="60"/>
      </w:pPr>
      <w:r>
        <w:t xml:space="preserve">Alignement stratégique IT/métier : 75/100 (2/2 réponses · 1P / 0N)</w:t>
      </w:r>
    </w:p>
    <w:p>
      <w:pPr>
        <w:pStyle w:val="ListParagraph"/>
        <w:numPr>
          <w:ilvl w:val="0"/>
          <w:numId w:val="1"/>
        </w:numPr>
        <w:spacing w:after="60"/>
      </w:pPr>
      <w:r>
        <w:t xml:space="preserve">Comités &amp; instances de pilotage : 75/100 (2/2 réponses · 1P / 0N)</w:t>
      </w:r>
    </w:p>
    <w:p>
      <w:pPr>
        <w:pStyle w:val="ListParagraph"/>
        <w:numPr>
          <w:ilvl w:val="0"/>
          <w:numId w:val="1"/>
        </w:numPr>
        <w:spacing w:after="60"/>
      </w:pPr>
      <w:r>
        <w:t xml:space="preserve">Budget &amp; investissement IT : 100/100 (2/2 réponses · 0P / 0N)</w:t>
      </w:r>
    </w:p>
    <w:p>
      <w:pPr>
        <w:pStyle w:val="ListParagraph"/>
        <w:numPr>
          <w:ilvl w:val="0"/>
          <w:numId w:val="1"/>
        </w:numPr>
        <w:spacing w:after="60"/>
      </w:pPr>
      <w:r>
        <w:t xml:space="preserve">Gestion fournisseurs &amp; contrats : 75/100 (2/2 réponses · 1P / 0N)</w:t>
      </w:r>
    </w:p>
    <w:p>
      <w:pPr>
        <w:pStyle w:val="ListParagraph"/>
        <w:numPr>
          <w:ilvl w:val="0"/>
          <w:numId w:val="1"/>
        </w:numPr>
        <w:spacing w:after="60"/>
      </w:pPr>
      <w:r>
        <w:t xml:space="preserve">Indicateurs &amp; reporting : 75/100 (2/2 réponses · 1P / 0N)</w:t>
      </w:r>
    </w:p>
    <w:p>
      <w:pPr>
        <w:pStyle w:val="ListParagraph"/>
        <w:numPr>
          <w:ilvl w:val="0"/>
          <w:numId w:val="1"/>
        </w:numPr>
        <w:spacing w:after="60"/>
      </w:pPr>
      <w:r>
        <w:t xml:space="preserve">Gestion du portefeuille projets IT : 75/100 (2/2 réponses · 1P / 0N)</w:t>
      </w:r>
    </w:p>
    <w:p>
      <w:pPr>
        <w:pStyle w:val="ListParagraph"/>
        <w:numPr>
          <w:ilvl w:val="0"/>
          <w:numId w:val="1"/>
        </w:numPr>
        <w:spacing w:after="60"/>
      </w:pPr>
      <w:r>
        <w:t xml:space="preserve">Ressources &amp; compétences IT : 75/100 (2/2 réponses · 1P / 0N)</w:t>
      </w:r>
    </w:p>
    <w:p>
      <w:pPr>
        <w:pStyle w:val="Heading3"/>
        <w:spacing w:after="80" w:before="200"/>
      </w:pPr>
      <w:r>
        <w:rPr>
          <w:b/>
          <w:bCs/>
          <w:sz w:val="22"/>
          <w:szCs w:val="22"/>
        </w:rPr>
        <w:t xml:space="preserve">Parc IT — détail par catégorie</w:t>
      </w:r>
    </w:p>
    <w:p>
      <w:pPr>
        <w:pStyle w:val="ListParagraph"/>
        <w:numPr>
          <w:ilvl w:val="0"/>
          <w:numId w:val="1"/>
        </w:numPr>
        <w:spacing w:after="60"/>
      </w:pPr>
      <w:r>
        <w:t xml:space="preserve">Inventaire &amp; découverte : 100/100 (2/2 réponses · 0P / 0N)</w:t>
      </w:r>
    </w:p>
    <w:p>
      <w:pPr>
        <w:pStyle w:val="ListParagraph"/>
        <w:numPr>
          <w:ilvl w:val="0"/>
          <w:numId w:val="1"/>
        </w:numPr>
        <w:spacing w:after="60"/>
      </w:pPr>
      <w:r>
        <w:t xml:space="preserve">Lifecycle postes &amp; serveurs : 75/100 (2/2 réponses · 1P / 0N)</w:t>
      </w:r>
    </w:p>
    <w:p>
      <w:pPr>
        <w:pStyle w:val="ListParagraph"/>
        <w:numPr>
          <w:ilvl w:val="0"/>
          <w:numId w:val="1"/>
        </w:numPr>
        <w:spacing w:after="60"/>
      </w:pPr>
      <w:r>
        <w:t xml:space="preserve">Gestion licences logicielles : 100/100 (2/2 réponses · 0P / 0N)</w:t>
      </w:r>
    </w:p>
    <w:p>
      <w:pPr>
        <w:pStyle w:val="ListParagraph"/>
        <w:numPr>
          <w:ilvl w:val="0"/>
          <w:numId w:val="1"/>
        </w:numPr>
        <w:spacing w:after="60"/>
      </w:pPr>
      <w:r>
        <w:t xml:space="preserve">Contrats &amp; garanties : 75/100 (2/2 réponses · 1P / 0N)</w:t>
      </w:r>
    </w:p>
    <w:p>
      <w:pPr>
        <w:pStyle w:val="ListParagraph"/>
        <w:numPr>
          <w:ilvl w:val="0"/>
          <w:numId w:val="1"/>
        </w:numPr>
        <w:spacing w:after="60"/>
      </w:pPr>
      <w:r>
        <w:t xml:space="preserve">Obsolescence &amp; dette technique : 100/100 (2/2 réponses · 0P / 0N)</w:t>
      </w:r>
    </w:p>
    <w:p>
      <w:pPr>
        <w:pStyle w:val="ListParagraph"/>
        <w:numPr>
          <w:ilvl w:val="0"/>
          <w:numId w:val="1"/>
        </w:numPr>
        <w:spacing w:after="60"/>
      </w:pPr>
      <w:r>
        <w:t xml:space="preserve">Lien avec sécurité : 75/100 (2/2 réponses · 1P / 0N)</w:t>
      </w:r>
    </w:p>
    <w:p>
      <w:pPr>
        <w:pStyle w:val="Heading3"/>
        <w:spacing w:after="80" w:before="200"/>
      </w:pPr>
      <w:r>
        <w:rPr>
          <w:b/>
          <w:bCs/>
          <w:sz w:val="22"/>
          <w:szCs w:val="22"/>
        </w:rPr>
        <w:t xml:space="preserve">Sensibilisation — détail par catégorie</w:t>
      </w:r>
    </w:p>
    <w:p>
      <w:pPr>
        <w:pStyle w:val="ListParagraph"/>
        <w:numPr>
          <w:ilvl w:val="0"/>
          <w:numId w:val="1"/>
        </w:numPr>
        <w:spacing w:after="60"/>
      </w:pPr>
      <w:r>
        <w:t xml:space="preserve">Programme de sensibilisation : 75/100 (2/2 réponses · 1P / 0N)</w:t>
      </w:r>
    </w:p>
    <w:p>
      <w:pPr>
        <w:pStyle w:val="ListParagraph"/>
        <w:numPr>
          <w:ilvl w:val="0"/>
          <w:numId w:val="1"/>
        </w:numPr>
        <w:spacing w:after="60"/>
      </w:pPr>
      <w:r>
        <w:t xml:space="preserve">Campagnes phishing simulé : 100/100 (2/2 réponses · 0P / 0N)</w:t>
      </w:r>
    </w:p>
    <w:p>
      <w:pPr>
        <w:pStyle w:val="ListParagraph"/>
        <w:numPr>
          <w:ilvl w:val="0"/>
          <w:numId w:val="1"/>
        </w:numPr>
        <w:spacing w:after="60"/>
      </w:pPr>
      <w:r>
        <w:t xml:space="preserve">Communication interne &amp; supports : 75/100 (2/2 réponses · 1P / 0N)</w:t>
      </w:r>
    </w:p>
    <w:p>
      <w:pPr>
        <w:pStyle w:val="ListParagraph"/>
        <w:numPr>
          <w:ilvl w:val="0"/>
          <w:numId w:val="1"/>
        </w:numPr>
        <w:spacing w:after="60"/>
      </w:pPr>
      <w:r>
        <w:t xml:space="preserve">Suivi &amp; indicateurs : 100/100 (2/2 réponses · 0P / 0N)</w:t>
      </w:r>
    </w:p>
    <w:p>
      <w:pPr>
        <w:pStyle w:val="ListParagraph"/>
        <w:numPr>
          <w:ilvl w:val="0"/>
          <w:numId w:val="1"/>
        </w:numPr>
        <w:spacing w:after="60"/>
      </w:pPr>
      <w:r>
        <w:t xml:space="preserve">Sponsoring management &amp; intégration gouvernance : 75/100 (2/2 réponses · 1P / 0N)</w:t>
      </w:r>
    </w:p>
    <w:p>
      <w:pPr>
        <w:pStyle w:val="Heading3"/>
        <w:spacing w:after="80" w:before="200"/>
      </w:pPr>
      <w:r>
        <w:rPr>
          <w:b/>
          <w:bCs/>
          <w:sz w:val="22"/>
          <w:szCs w:val="22"/>
        </w:rPr>
        <w:t xml:space="preserve">Google Workspace — détail par catégorie</w:t>
      </w:r>
    </w:p>
    <w:p>
      <w:pPr>
        <w:pStyle w:val="ListParagraph"/>
        <w:numPr>
          <w:ilvl w:val="0"/>
          <w:numId w:val="1"/>
        </w:numPr>
        <w:spacing w:after="60"/>
      </w:pPr>
      <w:r>
        <w:t xml:space="preserve">Identite &amp; 2SV : — (0/5 réponses · 0P / 0N)</w:t>
      </w:r>
    </w:p>
    <w:p>
      <w:pPr>
        <w:pStyle w:val="ListParagraph"/>
        <w:numPr>
          <w:ilvl w:val="0"/>
          <w:numId w:val="1"/>
        </w:numPr>
        <w:spacing w:after="60"/>
      </w:pPr>
      <w:r>
        <w:t xml:space="preserve">Partage &amp; DLP : — (0/4 réponses · 0P / 0N)</w:t>
      </w:r>
    </w:p>
    <w:p>
      <w:pPr>
        <w:pStyle w:val="ListParagraph"/>
        <w:numPr>
          <w:ilvl w:val="0"/>
          <w:numId w:val="1"/>
        </w:numPr>
        <w:spacing w:after="60"/>
      </w:pPr>
      <w:r>
        <w:t xml:space="preserve">Securite email : — (0/3 réponses · 0P / 0N)</w:t>
      </w:r>
    </w:p>
    <w:p>
      <w:pPr>
        <w:pStyle w:val="ListParagraph"/>
        <w:numPr>
          <w:ilvl w:val="0"/>
          <w:numId w:val="1"/>
        </w:numPr>
        <w:spacing w:after="60"/>
      </w:pPr>
      <w:r>
        <w:t xml:space="preserve">Mobilite : — (0/2 réponses · 0P / 0N)</w:t>
      </w:r>
    </w:p>
    <w:p>
      <w:pPr>
        <w:pStyle w:val="ListParagraph"/>
        <w:numPr>
          <w:ilvl w:val="0"/>
          <w:numId w:val="1"/>
        </w:numPr>
        <w:spacing w:after="60"/>
      </w:pPr>
      <w:r>
        <w:t xml:space="preserve">Gouvernance : — (0/3 réponses · 0P / 0N)</w:t>
      </w:r>
    </w:p>
    <w:p>
      <w:pPr>
        <w:pStyle w:val="ListParagraph"/>
        <w:numPr>
          <w:ilvl w:val="0"/>
          <w:numId w:val="1"/>
        </w:numPr>
        <w:spacing w:after="60"/>
      </w:pPr>
      <w:r>
        <w:t xml:space="preserve">Conformite : — (0/3 réponses · 0P / 0N)</w:t>
      </w:r>
    </w:p>
    <w:p>
      <w:pPr>
        <w:pStyle w:val="Heading3"/>
        <w:spacing w:after="80" w:before="200"/>
      </w:pPr>
      <w:r>
        <w:rPr>
          <w:b/>
          <w:bCs/>
          <w:sz w:val="22"/>
          <w:szCs w:val="22"/>
        </w:rPr>
        <w:t xml:space="preserve">FinOps — détail par catégorie</w:t>
      </w:r>
    </w:p>
    <w:p>
      <w:pPr>
        <w:pStyle w:val="ListParagraph"/>
        <w:numPr>
          <w:ilvl w:val="0"/>
          <w:numId w:val="1"/>
        </w:numPr>
        <w:spacing w:after="60"/>
      </w:pPr>
      <w:r>
        <w:t xml:space="preserve">Visibilité &amp; allocation : — (0/4 réponses · 0P / 0N)</w:t>
      </w:r>
    </w:p>
    <w:p>
      <w:pPr>
        <w:pStyle w:val="ListParagraph"/>
        <w:numPr>
          <w:ilvl w:val="0"/>
          <w:numId w:val="1"/>
        </w:numPr>
        <w:spacing w:after="60"/>
      </w:pPr>
      <w:r>
        <w:t xml:space="preserve">Licences &amp; SaaS : — (0/5 réponses · 0P / 0N)</w:t>
      </w:r>
    </w:p>
    <w:p>
      <w:pPr>
        <w:pStyle w:val="ListParagraph"/>
        <w:numPr>
          <w:ilvl w:val="0"/>
          <w:numId w:val="1"/>
        </w:numPr>
        <w:spacing w:after="60"/>
      </w:pPr>
      <w:r>
        <w:t xml:space="preserve">Cloud &amp; infrastructure : — (0/4 réponses · 0P / 0N)</w:t>
      </w:r>
    </w:p>
    <w:p>
      <w:pPr>
        <w:pStyle w:val="ListParagraph"/>
        <w:numPr>
          <w:ilvl w:val="0"/>
          <w:numId w:val="1"/>
        </w:numPr>
        <w:spacing w:after="60"/>
      </w:pPr>
      <w:r>
        <w:t xml:space="preserve">FinOps IA : — (0/5 réponses · 0P / 0N)</w:t>
      </w:r>
    </w:p>
    <w:p>
      <w:pPr>
        <w:pStyle w:val="ListParagraph"/>
        <w:numPr>
          <w:ilvl w:val="0"/>
          <w:numId w:val="1"/>
        </w:numPr>
        <w:spacing w:after="60"/>
      </w:pPr>
      <w:r>
        <w:t xml:space="preserve">Gouvernance &amp; processus : — (0/4 réponses · 0P / 0N)</w:t>
      </w:r>
    </w:p>
    <w:p>
      <w:pPr>
        <w:pStyle w:val="ListParagraph"/>
        <w:numPr>
          <w:ilvl w:val="0"/>
          <w:numId w:val="1"/>
        </w:numPr>
        <w:spacing w:after="60"/>
      </w:pPr>
      <w:r>
        <w:t xml:space="preserve">Sobriété &amp; durabilité : — (0/2 réponses · 0P / 0N)</w:t>
      </w:r>
    </w:p>
    <w:p>
      <w:pPr>
        <w:pStyle w:val="Heading3"/>
        <w:spacing w:after="80" w:before="200"/>
      </w:pPr>
      <w:r>
        <w:rPr>
          <w:b/>
          <w:bCs/>
          <w:sz w:val="22"/>
          <w:szCs w:val="22"/>
        </w:rPr>
        <w:t xml:space="preserve">Données manquantes critiques</w:t>
      </w:r>
    </w:p>
    <w:p>
      <w:pPr>
        <w:pStyle w:val="ListParagraph"/>
        <w:numPr>
          <w:ilvl w:val="0"/>
          <w:numId w:val="1"/>
        </w:numPr>
        <w:spacing w:after="60"/>
      </w:pPr>
      <w:r>
        <w:t xml:space="preserve">Sponsor mission non désigné</w:t>
      </w:r>
    </w:p>
    <w:p>
      <w:pPr>
        <w:pStyle w:val="Heading1"/>
        <w:pageBreakBefore/>
        <w:spacing w:after="160" w:before="320"/>
      </w:pPr>
      <w:r>
        <w:rPr>
          <w:b/>
          <w:bCs/>
          <w:color w:val="6366F1"/>
          <w:sz w:val="36"/>
          <w:szCs w:val="36"/>
        </w:rPr>
        <w:t xml:space="preserve">5. Constats par axe</w:t>
      </w:r>
    </w:p>
    <w:p>
      <w:pPr>
        <w:pStyle w:val="Heading2"/>
        <w:spacing w:after="120" w:before="240"/>
      </w:pPr>
      <w:r>
        <w:rPr>
          <w:b/>
          <w:bCs/>
          <w:color w:val="6366F1"/>
          <w:sz w:val="26"/>
          <w:szCs w:val="26"/>
        </w:rPr>
        <w:t xml:space="preserve">Gestion des risques IT &amp; cyber — Gouvernance &amp; pilotage des risques (score 6.7/100)</w:t>
      </w:r>
    </w:p>
    <w:p>
      <w:pPr>
        <w:spacing w:after="120"/>
      </w:pPr>
      <w:r>
        <w:t xml:space="preserve">Meridian Group affiche une base de gestion des risques partiellement structurée (8/12 réponses positives), mais les quatre signaux « Partiel » révèlent une fragilité systémique sur toute la chaîne de valeur du risque : la politique existe mais n'est pas revue annuellement (RISK01), ce qui est critique au regard des enjeux de cybersécurité et de conformité réglementaire portés par la direction. L'analyse de risques reste incomplète sur les scénarios stratégiques et opérationnels (RISK04), exposant directement les projets de croissance externe et d'internationalisation à des angles morts non traités. Le traitement des risques identifiés n'est pas systématiquement documenté (RISK07) : sans décision tracée de réduction, transfert ou acceptation, la responsabilité managériale est engagée et l'assurabilité cyber fragilisée. Enfin, l'absence de KRI reportés régulièrement à la direction (RISK10) prive le COMEX de tout tableau de bord pour piloter l'évolution du profil de risque dans un contexte de transformation digitale accélérée — ce qui constitue un risque de gouvernance élevé à court terme.</w:t>
      </w:r>
    </w:p>
    <w:p>
      <w:pPr>
        <w:pStyle w:val="ListParagraph"/>
        <w:numPr>
          <w:ilvl w:val="0"/>
          <w:numId w:val="1"/>
        </w:numPr>
        <w:spacing w:after="60"/>
      </w:pPr>
      <w:r>
        <w:t xml:space="preserve">RISK01 Partiel — politique non revue annuellement : conformité réglementaire et cyber exposées</w:t>
      </w:r>
    </w:p>
    <w:p>
      <w:pPr>
        <w:pStyle w:val="ListParagraph"/>
        <w:numPr>
          <w:ilvl w:val="0"/>
          <w:numId w:val="1"/>
        </w:numPr>
        <w:spacing w:after="60"/>
      </w:pPr>
      <w:r>
        <w:t xml:space="preserve">RISK04 Partiel — scénarios stratégiques/opérationnels incomplets : angles morts sur M&amp;A et internationalisation</w:t>
      </w:r>
    </w:p>
    <w:p>
      <w:pPr>
        <w:pStyle w:val="ListParagraph"/>
        <w:numPr>
          <w:ilvl w:val="0"/>
          <w:numId w:val="1"/>
        </w:numPr>
        <w:spacing w:after="60"/>
      </w:pPr>
      <w:r>
        <w:t xml:space="preserve">RISK07 Partiel — décisions de traitement non documentées : assurabilité cyber et responsabilité managériale en jeu</w:t>
      </w:r>
    </w:p>
    <w:p>
      <w:pPr>
        <w:pStyle w:val="ListParagraph"/>
        <w:numPr>
          <w:ilvl w:val="0"/>
          <w:numId w:val="1"/>
        </w:numPr>
        <w:spacing w:after="60"/>
      </w:pPr>
      <w:r>
        <w:t xml:space="preserve">RISK10 Partiel — KRI absents au reporting direction : pilotage du profil de risque impossible</w:t>
      </w:r>
    </w:p>
    <w:p>
      <w:pPr>
        <w:pStyle w:val="Heading2"/>
        <w:spacing w:after="120" w:before="240"/>
      </w:pPr>
      <w:r>
        <w:rPr>
          <w:b/>
          <w:bCs/>
          <w:color w:val="6366F1"/>
          <w:sz w:val="26"/>
          <w:szCs w:val="26"/>
        </w:rPr>
        <w:t xml:space="preserve">RGPD — Conformité &amp; gouvernance des données personnelles (score 7.5/100)</w:t>
      </w:r>
    </w:p>
    <w:p>
      <w:pPr>
        <w:spacing w:after="120"/>
      </w:pPr>
      <w:r>
        <w:t xml:space="preserve">Meridian Group affiche une base RGPD solide (12/16 réponses positives), mais quatre signaux partiels révèlent des fragilités structurelles qui exposent directement les enjeux de conformité réglementaire, d'internationalisation et de croissance externe. La politique de protection des données (RGPD02) reste incomplète dans sa diffusion interne : sans appropriation réelle par les collaborateurs, le risque d'incidents de traitement augmente, notamment lors d'intégrations post-acquisition. Le suivi des plans d'action DPIA (RGPD06) est insuffisamment outillé — absence d'échéances et de responsables formalisés — ce qui transforme des analyses de risque en exercices théoriques sans effet correctif mesurable. La politique de confidentialité (RGPD10) présente des lacunes de lisibilité et de couverture, incluant la conformité du bandeau cookies, point de contrôle prioritaire de la CNIL et signal de maturité attendu par les clients grands comptes dans un contexte de transformation digitale. Enfin, l'encadrement des transferts hors UE/EEE (RGPD14) est partiel : dans une logique d'internationalisation et d'usage croissant de SaaS tiers, l'absence de mécanismes post-Schrems II validés constitue un risque juridique et réputationnel de niveau élevé, susceptible de bloquer des deals ou des due diligences.</w:t>
      </w:r>
    </w:p>
    <w:p>
      <w:pPr>
        <w:pStyle w:val="ListParagraph"/>
        <w:numPr>
          <w:ilvl w:val="0"/>
          <w:numId w:val="1"/>
        </w:numPr>
        <w:spacing w:after="60"/>
      </w:pPr>
      <w:r>
        <w:t xml:space="preserve">RGPD02 Partiel — politique non diffusée à l'ensemble des collaborateurs</w:t>
      </w:r>
    </w:p>
    <w:p>
      <w:pPr>
        <w:pStyle w:val="ListParagraph"/>
        <w:numPr>
          <w:ilvl w:val="0"/>
          <w:numId w:val="1"/>
        </w:numPr>
        <w:spacing w:after="60"/>
      </w:pPr>
      <w:r>
        <w:t xml:space="preserve">RGPD06 Partiel — plans d'action DPIA sans échéances ni responsables formalisés</w:t>
      </w:r>
    </w:p>
    <w:p>
      <w:pPr>
        <w:pStyle w:val="ListParagraph"/>
        <w:numPr>
          <w:ilvl w:val="0"/>
          <w:numId w:val="1"/>
        </w:numPr>
        <w:spacing w:after="60"/>
      </w:pPr>
      <w:r>
        <w:t xml:space="preserve">RGPD10 Partiel — politique de confidentialité incomplète, bandeau cookies non conforme</w:t>
      </w:r>
    </w:p>
    <w:p>
      <w:pPr>
        <w:pStyle w:val="ListParagraph"/>
        <w:numPr>
          <w:ilvl w:val="0"/>
          <w:numId w:val="1"/>
        </w:numPr>
        <w:spacing w:after="60"/>
      </w:pPr>
      <w:r>
        <w:t xml:space="preserve">RGPD14 Partiel — transferts hors UE/EEE non encadrés post-Schrems II</w:t>
      </w:r>
    </w:p>
    <w:p>
      <w:pPr>
        <w:pStyle w:val="Heading2"/>
        <w:spacing w:after="120" w:before="240"/>
      </w:pPr>
      <w:r>
        <w:rPr>
          <w:b/>
          <w:bCs/>
          <w:color w:val="6366F1"/>
          <w:sz w:val="26"/>
          <w:szCs w:val="26"/>
        </w:rPr>
        <w:t xml:space="preserve">Modern Workplace — Endpoint &amp; sécurité poste / Stockage &amp; sauvegarde (score 7.5/100)</w:t>
      </w:r>
    </w:p>
    <w:p>
      <w:pPr>
        <w:spacing w:after="120"/>
      </w:pPr>
      <w:r>
        <w:t xml:space="preserve">Meridian Group affiche une base Modern Workplace globalement solide (21/28 réponses positives), mais sept signaux partiels révèlent des fragilités structurelles qui entrent directement en tension avec les enjeux de cybersécurité, de conformité réglementaire et d'internationalisation. </w:t>
      </w:r>
      <w:r>
        <w:rPr>
          <w:b/>
          <w:bCs/>
        </w:rPr>
        <w:t xml:space="preserve">Critique</w:t>
      </w:r>
      <w:r>
        <w:t xml:space="preserve"> : la sauvegarde 3-2-1 (MW23) et la protection des serveurs/VM avec RTO/RPO validés (MW27) sont incomplètes — dans un contexte de croissance externe, une acquisition mal intégrée sans plan de reprise chiffré expose l'ensemble du groupe à un risque opérationnel majeur en cas d'incident. </w:t>
      </w:r>
      <w:r>
        <w:rPr>
          <w:b/>
          <w:bCs/>
        </w:rPr>
        <w:t xml:space="preserve">Élevé</w:t>
      </w:r>
      <w:r>
        <w:t xml:space="preserve"> : le MDM/UEM (MW11) et le patch management sous 30 jours (MW15) ne couvrent pas l'intégralité du parc, ce qui crée des angles morts exploitables, particulièrement préoccupant pour une ETI en transformation digitale avec des entités potentiellement hétérogènes post-fusion. </w:t>
      </w:r>
      <w:r>
        <w:rPr>
          <w:b/>
          <w:bCs/>
        </w:rPr>
        <w:t xml:space="preserve">Modéré</w:t>
      </w:r>
      <w:r>
        <w:t xml:space="preserve"> : le SSO partiel (MW03) et le stockage non totalement centralisé (MW07) fragmentent la traçabilité des accès et la gouvernance documentaire, deux prérequis d'une conformité réglementaire (RGPD, NIS2) crédible à l'international ; la visio qualifiée pour réunions sensibles (MW19) reste un angle mort acceptable à court terme mais à adresser si le périmètre défense/secteur réglementé s'étend.</w:t>
      </w:r>
    </w:p>
    <w:p>
      <w:pPr>
        <w:pStyle w:val="ListParagraph"/>
        <w:numPr>
          <w:ilvl w:val="0"/>
          <w:numId w:val="1"/>
        </w:numPr>
        <w:spacing w:after="60"/>
      </w:pPr>
      <w:r>
        <w:t xml:space="preserve">MW23 – Règle 3-2-1 partielle : OneDrive seul ≠ sauvegarde</w:t>
      </w:r>
    </w:p>
    <w:p>
      <w:pPr>
        <w:pStyle w:val="ListParagraph"/>
        <w:numPr>
          <w:ilvl w:val="0"/>
          <w:numId w:val="1"/>
        </w:numPr>
        <w:spacing w:after="60"/>
      </w:pPr>
      <w:r>
        <w:t xml:space="preserve">MW27 – RTO/RPO non chiffrés ni validés direction</w:t>
      </w:r>
    </w:p>
    <w:p>
      <w:pPr>
        <w:pStyle w:val="ListParagraph"/>
        <w:numPr>
          <w:ilvl w:val="0"/>
          <w:numId w:val="1"/>
        </w:numPr>
        <w:spacing w:after="60"/>
      </w:pPr>
      <w:r>
        <w:t xml:space="preserve">MW11 – MDM/UEM : couverture parc incomplète</w:t>
      </w:r>
    </w:p>
    <w:p>
      <w:pPr>
        <w:pStyle w:val="ListParagraph"/>
        <w:numPr>
          <w:ilvl w:val="0"/>
          <w:numId w:val="1"/>
        </w:numPr>
        <w:spacing w:after="60"/>
      </w:pPr>
      <w:r>
        <w:t xml:space="preserve">MW15 – Patchs critiques : suivi partiel, fenêtre 30j non garantie</w:t>
      </w:r>
    </w:p>
    <w:p>
      <w:pPr>
        <w:pStyle w:val="ListParagraph"/>
        <w:numPr>
          <w:ilvl w:val="0"/>
          <w:numId w:val="1"/>
        </w:numPr>
        <w:spacing w:after="60"/>
      </w:pPr>
      <w:r>
        <w:t xml:space="preserve">MW03 – SSO non généralisé à toutes les applis SaaS</w:t>
      </w:r>
    </w:p>
    <w:p>
      <w:pPr>
        <w:pStyle w:val="ListParagraph"/>
        <w:numPr>
          <w:ilvl w:val="0"/>
          <w:numId w:val="1"/>
        </w:numPr>
        <w:spacing w:after="60"/>
      </w:pPr>
      <w:r>
        <w:t xml:space="preserve">MW19 – Visio qualifiée absente pour réunions sensibles</w:t>
      </w:r>
    </w:p>
    <w:p>
      <w:pPr>
        <w:pStyle w:val="Heading2"/>
        <w:spacing w:after="120" w:before="240"/>
      </w:pPr>
      <w:r>
        <w:rPr>
          <w:b/>
          <w:bCs/>
          <w:color w:val="6366F1"/>
          <w:sz w:val="26"/>
          <w:szCs w:val="26"/>
        </w:rPr>
        <w:t xml:space="preserve">Diag IT N1 — Diagnostic Express — Gouvernance SI &amp; Sécurité fondamentale (score 8.5/100)</w:t>
      </w:r>
    </w:p>
    <w:p>
      <w:pPr>
        <w:spacing w:after="120"/>
      </w:pPr>
      <w:r>
        <w:t xml:space="preserve">Meridian Group affiche une base IT globalement opérationnelle (21/26 réponses positives), mais cinq signaux partiels révèlent des fragilités structurelles directement exposées aux enjeux de cybersécurité, conformité réglementaire et croissance externe. La gestion des identités reste incomplète — des comptes partagés subsistent, ce qui compromet toute traçabilité des accès et contredit les exigences RGPD et les standards d'audit attendus lors d'une opération M&amp;A. La cartographie des applications et données critiques n'est pas finalisée ni révisée annuellement, rendant toute due diligence ou plan de continuité fragile. Les sauvegardes existent mais leur isolation et leurs tests ne sont que partiels, exposant l'entreprise à un risque de perte de données irréversible en cas d'incident cyber. L'AIPD sur les traitements à risque élevé est incomplète, ce qui constitue une non-conformité RGPD potentiellement sanctionnable, critique dans un contexte d'internationalisation. Enfin, la préparation à la facturation électronique obligatoire au 1er septembre 2026 n'est pas acquise, avec un délai d'exécution qui se resserre pour une ETI de ce secteur.</w:t>
      </w:r>
    </w:p>
    <w:p>
      <w:pPr>
        <w:pStyle w:val="ListParagraph"/>
        <w:numPr>
          <w:ilvl w:val="0"/>
          <w:numId w:val="1"/>
        </w:numPr>
        <w:spacing w:after="60"/>
      </w:pPr>
      <w:r>
        <w:t xml:space="preserve">Comptes partagés subsistants → traçabilité nulle, risque audit M&amp;A</w:t>
      </w:r>
    </w:p>
    <w:p>
      <w:pPr>
        <w:pStyle w:val="ListParagraph"/>
        <w:numPr>
          <w:ilvl w:val="0"/>
          <w:numId w:val="1"/>
        </w:numPr>
        <w:spacing w:after="60"/>
      </w:pPr>
      <w:r>
        <w:t xml:space="preserve">Cartographie SI non finalisée → continuité et due diligence exposées</w:t>
      </w:r>
    </w:p>
    <w:p>
      <w:pPr>
        <w:pStyle w:val="ListParagraph"/>
        <w:numPr>
          <w:ilvl w:val="0"/>
          <w:numId w:val="1"/>
        </w:numPr>
        <w:spacing w:after="60"/>
      </w:pPr>
      <w:r>
        <w:t xml:space="preserve">Sauvegardes non testées → résilience cyber non démontrée</w:t>
      </w:r>
    </w:p>
    <w:p>
      <w:pPr>
        <w:pStyle w:val="ListParagraph"/>
        <w:numPr>
          <w:ilvl w:val="0"/>
          <w:numId w:val="1"/>
        </w:numPr>
        <w:spacing w:after="60"/>
      </w:pPr>
      <w:r>
        <w:t xml:space="preserve">AIPD incomplète → non-conformité RGPD sanctionnable</w:t>
      </w:r>
    </w:p>
    <w:p>
      <w:pPr>
        <w:pStyle w:val="ListParagraph"/>
        <w:numPr>
          <w:ilvl w:val="0"/>
          <w:numId w:val="1"/>
        </w:numPr>
        <w:spacing w:after="60"/>
      </w:pPr>
      <w:r>
        <w:t xml:space="preserve">Facture électronique 2026 → readiness insuffisante, délai critique</w:t>
      </w:r>
    </w:p>
    <w:p>
      <w:pPr>
        <w:pStyle w:val="Heading2"/>
        <w:spacing w:after="120" w:before="240"/>
      </w:pPr>
      <w:r>
        <w:rPr>
          <w:b/>
          <w:bCs/>
          <w:color w:val="6366F1"/>
          <w:sz w:val="26"/>
          <w:szCs w:val="26"/>
        </w:rPr>
        <w:t xml:space="preserve">Zero Trust — Identité &amp; Contrôle d'accès (score 6/100)</w:t>
      </w:r>
    </w:p>
    <w:p>
      <w:pPr>
        <w:spacing w:after="120"/>
      </w:pPr>
      <w:r>
        <w:t xml:space="preserve">Meridian Group affiche une posture Zero Trust en construction : 12 réponses positives sur 20 témoignent d'une base existante, mais 8 points restent partiels, concentrés sur les couches Identité, Appareils et Réseau — les trois piliers fondateurs du modèle. Les lacunes les plus critiques concernent l'annuaire central incomplet (ZT01 : prestataires et comptes de service non couverts) et l'absence d'authentification résistante au phishing généralisée (ZT06 : SMS/OTP encore en place sur des comptes sensibles), deux vecteurs d'attaque majeurs dans un contexte de croissance externe et d'internationalisation où les identités tierces se multiplient. Le Conditional Access partiel (ZT04) et la SoD non outillée (ZT09) exposent l'entreprise à des risques de compromission latérale et de fraude interne, directement incompatibles avec les exigences de conformité réglementaire (NIS2, DORA si applicable). Côté appareils, l'enrôlement MDM partiel (ZT11) et le BYOD non encadré techniquement (ZT14) créent des angles morts sur la surface d'attaque endpoint, tandis que l'absence de PKI machine automatisée (ZT16) fragilise la confiance des terminaux. Enfin, le maintien d'un VPN classique en parallèle d'un ZTNA embryonnaire (ZT19) signale une transition non finalisée qui dilue les bénéfices de segmentation attendus dans une transformation digitale ambitieuse.</w:t>
      </w:r>
    </w:p>
    <w:p>
      <w:pPr>
        <w:pStyle w:val="ListParagraph"/>
        <w:numPr>
          <w:ilvl w:val="0"/>
          <w:numId w:val="1"/>
        </w:numPr>
        <w:spacing w:after="60"/>
      </w:pPr>
      <w:r>
        <w:t xml:space="preserve">ZT01 Partiel — prestataires et comptes de service hors annuaire central : risque identité tiers élevé (croissance externe)</w:t>
      </w:r>
    </w:p>
    <w:p>
      <w:pPr>
        <w:pStyle w:val="ListParagraph"/>
        <w:numPr>
          <w:ilvl w:val="0"/>
          <w:numId w:val="1"/>
        </w:numPr>
        <w:spacing w:after="60"/>
      </w:pPr>
      <w:r>
        <w:t xml:space="preserve">ZT06 Partiel — authentification anti-phishing absente sur comptes sensibles : vecteur d'attaque critique</w:t>
      </w:r>
    </w:p>
    <w:p>
      <w:pPr>
        <w:pStyle w:val="ListParagraph"/>
        <w:numPr>
          <w:ilvl w:val="0"/>
          <w:numId w:val="1"/>
        </w:numPr>
        <w:spacing w:after="60"/>
      </w:pPr>
      <w:r>
        <w:t xml:space="preserve">ZT04 Partiel — Conditional Access sans évaluation dynamique du risque : détection insuffisante des connexions anormales</w:t>
      </w:r>
    </w:p>
    <w:p>
      <w:pPr>
        <w:pStyle w:val="ListParagraph"/>
        <w:numPr>
          <w:ilvl w:val="0"/>
          <w:numId w:val="1"/>
        </w:numPr>
        <w:spacing w:after="60"/>
      </w:pPr>
      <w:r>
        <w:t xml:space="preserve">ZT09 Partiel — SoD non outillée sur rôles critiques (paie, paiement, admin SI) : risque fraude interne / conformité</w:t>
      </w:r>
    </w:p>
    <w:p>
      <w:pPr>
        <w:pStyle w:val="ListParagraph"/>
        <w:numPr>
          <w:ilvl w:val="0"/>
          <w:numId w:val="1"/>
        </w:numPr>
        <w:spacing w:after="60"/>
      </w:pPr>
      <w:r>
        <w:t xml:space="preserve">ZT11 + ZT14 Partiels — MDM incomplet et BYOD non encadré : surface endpoint non maîtrisée</w:t>
      </w:r>
    </w:p>
    <w:p>
      <w:pPr>
        <w:pStyle w:val="ListParagraph"/>
        <w:numPr>
          <w:ilvl w:val="0"/>
          <w:numId w:val="1"/>
        </w:numPr>
        <w:spacing w:after="60"/>
      </w:pPr>
      <w:r>
        <w:t xml:space="preserve">ZT19 Partiel — coexistence VPN legacy / ZTNA : segmentation réseau inefficace, transformation digitale freinée</w:t>
      </w:r>
    </w:p>
    <w:p>
      <w:pPr>
        <w:pStyle w:val="Heading2"/>
        <w:spacing w:after="120" w:before="240"/>
      </w:pPr>
      <w:r>
        <w:rPr>
          <w:b/>
          <w:bCs/>
          <w:color w:val="6366F1"/>
          <w:sz w:val="26"/>
          <w:szCs w:val="26"/>
        </w:rPr>
        <w:t xml:space="preserve">Diag IT N2 — Diagnostic Avancé — Cybersécurité &amp; Gouvernance IT (score 57/100)</w:t>
      </w:r>
    </w:p>
    <w:p>
      <w:pPr>
        <w:spacing w:after="120"/>
      </w:pPr>
      <w:r>
        <w:t xml:space="preserve">Meridian Group (300-499 collaborateurs, Services/Conseil &amp; Ingénierie) présente un niveau de maturité IT intermédiaire mais structurellement insuffisant au regard de ses enjeux de cybersécurité, de conformité réglementaire et de croissance externe : sur 75 points audités, 32 signaux restent en Partiel ou Non, révélant des lacunes systémiques plutôt que des oublis isolés. Les risques les plus critiques se concentrent sur la sécurité des identités et des accès — MFA incomplet (A16), moindre privilège non appliqué (A20), SSO SaaS absent (A34) — combinés à l'absence de filtrage DNS/web (A48) et de scan de vulnérabilités (A55), ce qui expose directement le groupe à une compromission lors d'une opération de croissance externe ou d'une intégration de filiale internationale. La gouvernance IT souffre d'un déficit de pilotage mesurable : pas de KPI communiqués à la direction (A06), comité de pilotage partiel (A02), priorisation métier non formalisée (A05), ce qui fragilise la capacité à arbitrer les investissements dans un contexte de transformation digitale accélérée. Enfin, la résilience opérationnelle est insuffisante — tests de restauration absents (A41), exercice de crise cyber partiel (A44), segmentation Wi-Fi inexistante (A13) — et la conformité RGPD reste exposée faute de sensibilisation collaborateurs intégrée à l'onboarding (A62) et de maîtrise des transferts hors UE (A61), deux points directement opposables en cas d'audit réglementaire ou d'incident.</w:t>
      </w:r>
    </w:p>
    <w:p>
      <w:pPr>
        <w:pStyle w:val="ListParagraph"/>
        <w:numPr>
          <w:ilvl w:val="0"/>
          <w:numId w:val="1"/>
        </w:numPr>
        <w:spacing w:after="60"/>
      </w:pPr>
      <w:r>
        <w:t xml:space="preserve">A20 Non — moindre privilège non appliqué : vecteur d'escalade de privilèges en cas d'intrusion</w:t>
      </w:r>
    </w:p>
    <w:p>
      <w:pPr>
        <w:pStyle w:val="ListParagraph"/>
        <w:numPr>
          <w:ilvl w:val="0"/>
          <w:numId w:val="1"/>
        </w:numPr>
        <w:spacing w:after="60"/>
      </w:pPr>
      <w:r>
        <w:t xml:space="preserve">A55 Non — aucun scan de vulnérabilités régulier : surface d'attaque non maîtrisée</w:t>
      </w:r>
    </w:p>
    <w:p>
      <w:pPr>
        <w:pStyle w:val="ListParagraph"/>
        <w:numPr>
          <w:ilvl w:val="0"/>
          <w:numId w:val="1"/>
        </w:numPr>
        <w:spacing w:after="60"/>
      </w:pPr>
      <w:r>
        <w:t xml:space="preserve">A34 Non — SSO SaaS absent : prolifération d'identités non gouvernées, risque M&amp;A</w:t>
      </w:r>
    </w:p>
    <w:p>
      <w:pPr>
        <w:pStyle w:val="ListParagraph"/>
        <w:numPr>
          <w:ilvl w:val="0"/>
          <w:numId w:val="1"/>
        </w:numPr>
        <w:spacing w:after="60"/>
      </w:pPr>
      <w:r>
        <w:t xml:space="preserve">A48 Non — filtrage DNS/web inactif : exposition aux domaines malveillants sans filet</w:t>
      </w:r>
    </w:p>
    <w:p>
      <w:pPr>
        <w:pStyle w:val="ListParagraph"/>
        <w:numPr>
          <w:ilvl w:val="0"/>
          <w:numId w:val="1"/>
        </w:numPr>
        <w:spacing w:after="60"/>
      </w:pPr>
      <w:r>
        <w:t xml:space="preserve">A41 Non — tests de restauration jamais documentés : continuité non prouvée</w:t>
      </w:r>
    </w:p>
    <w:p>
      <w:pPr>
        <w:pStyle w:val="ListParagraph"/>
        <w:numPr>
          <w:ilvl w:val="0"/>
          <w:numId w:val="1"/>
        </w:numPr>
        <w:spacing w:after="60"/>
      </w:pPr>
      <w:r>
        <w:t xml:space="preserve">A06 Non — KPI IT non mesurés ni communiqués à la direction : pilotage à l'aveugle</w:t>
      </w:r>
    </w:p>
    <w:p>
      <w:pPr>
        <w:pStyle w:val="ListParagraph"/>
        <w:numPr>
          <w:ilvl w:val="0"/>
          <w:numId w:val="1"/>
        </w:numPr>
        <w:spacing w:after="60"/>
      </w:pPr>
      <w:r>
        <w:t xml:space="preserve">A62 Non — politique RGPD absente de l'onboarding : non-conformité exposable</w:t>
      </w:r>
    </w:p>
    <w:p>
      <w:pPr>
        <w:pStyle w:val="ListParagraph"/>
        <w:numPr>
          <w:ilvl w:val="0"/>
          <w:numId w:val="1"/>
        </w:numPr>
        <w:spacing w:after="60"/>
      </w:pPr>
      <w:r>
        <w:t xml:space="preserve">A69 Non — aucun programme de sensibilisation cyber : culture du risque inexistante</w:t>
      </w:r>
    </w:p>
    <w:p>
      <w:pPr>
        <w:pStyle w:val="Heading2"/>
        <w:spacing w:after="120" w:before="240"/>
      </w:pPr>
      <w:r>
        <w:rPr>
          <w:b/>
          <w:bCs/>
          <w:color w:val="6366F1"/>
          <w:sz w:val="26"/>
          <w:szCs w:val="26"/>
        </w:rPr>
        <w:t xml:space="preserve">Sensibilisation cybersécurité — Gouvernance &amp; Culture Sécurité (score 7/100)</w:t>
      </w:r>
    </w:p>
    <w:p>
      <w:pPr>
        <w:spacing w:after="120"/>
      </w:pPr>
      <w:r>
        <w:t xml:space="preserve">Meridian Group affiche un socle de sensibilisation globalement en place (7/10 réponses positives), mais trois signaux partiels révèlent une fragilité structurelle qui pèse directement sur les enjeux de cybersécurité, de conformité réglementaire et de croissance externe. </w:t>
      </w:r>
      <w:r>
        <w:rPr>
          <w:b/>
          <w:bCs/>
        </w:rPr>
        <w:t xml:space="preserve">Critique</w:t>
      </w:r>
      <w:r>
        <w:t xml:space="preserve"> : le programme de sensibilisation (SENS01) reste incomplet — absence de calendrier annuel formalisé, d'objectifs mesurables ou de budget dédié identifié, ce qui rend impossible tout pilotage et toute démonstration de conformité (NIS2, DORA selon périmètre). </w:t>
      </w:r>
      <w:r>
        <w:rPr>
          <w:b/>
          <w:bCs/>
        </w:rPr>
        <w:t xml:space="preserve">Élevé</w:t>
      </w:r>
      <w:r>
        <w:t xml:space="preserve"> : le sponsoring de la direction générale (SENS09) est partiel ; sans portage visible au plus haut niveau, la culture sécurité ne s'ancre pas dans les comportements, risque amplifié par l'internationalisation et les opérations de croissance externe qui exposent à de nouveaux vecteurs humains. </w:t>
      </w:r>
      <w:r>
        <w:rPr>
          <w:b/>
          <w:bCs/>
        </w:rPr>
        <w:t xml:space="preserve">Modéré</w:t>
      </w:r>
      <w:r>
        <w:t xml:space="preserve"> : la diversité des supports de communication (SENS05) est insuffisante — des formats variés et contextuels (alertes situationnelles, quiz) ne sont pas encore systématisés, réduisant l'efficacité pédagogique auprès de profils collaborateurs hétérogènes typiques d'une ETI en transformation digitale.</w:t>
      </w:r>
    </w:p>
    <w:p>
      <w:pPr>
        <w:pStyle w:val="ListParagraph"/>
        <w:numPr>
          <w:ilvl w:val="0"/>
          <w:numId w:val="1"/>
        </w:numPr>
        <w:spacing w:after="60"/>
      </w:pPr>
      <w:r>
        <w:t xml:space="preserve">SENS01 Partiel — pas de calendrier annuel ni d'objectifs mesurables ni de budget dédié</w:t>
      </w:r>
    </w:p>
    <w:p>
      <w:pPr>
        <w:pStyle w:val="ListParagraph"/>
        <w:numPr>
          <w:ilvl w:val="0"/>
          <w:numId w:val="1"/>
        </w:numPr>
        <w:spacing w:after="60"/>
      </w:pPr>
      <w:r>
        <w:t xml:space="preserve">SENS09 Partiel — direction générale non visiblement engagée, sensibilisation absente de la politique sécurité</w:t>
      </w:r>
    </w:p>
    <w:p>
      <w:pPr>
        <w:pStyle w:val="ListParagraph"/>
        <w:numPr>
          <w:ilvl w:val="0"/>
          <w:numId w:val="1"/>
        </w:numPr>
        <w:spacing w:after="60"/>
      </w:pPr>
      <w:r>
        <w:t xml:space="preserve">SENS05 Partiel — supports variés non systématisés, alertes contextuelles absentes</w:t>
      </w:r>
    </w:p>
    <w:p>
      <w:pPr>
        <w:pStyle w:val="Heading2"/>
        <w:spacing w:after="120" w:before="240"/>
      </w:pPr>
      <w:r>
        <w:rPr>
          <w:b/>
          <w:bCs/>
          <w:color w:val="6366F1"/>
          <w:sz w:val="26"/>
          <w:szCs w:val="26"/>
        </w:rPr>
        <w:t xml:space="preserve">Parc IT — Maîtrise du cycle de vie et sécurisation du parc (score 7.75/100)</w:t>
      </w:r>
    </w:p>
    <w:p>
      <w:pPr>
        <w:spacing w:after="120"/>
      </w:pPr>
      <w:r>
        <w:t xml:space="preserve">Le parc IT de Meridian Group présente une base saine (9/12 pratiques validées), mais trois signaux partiels concentrent l'essentiel du risque résiduel. Le plan de renouvellement postes/serveurs (PARC03) existe à l'état embryonnaire : sans budget prévisionnel formalisé ni durée de vie cible arrêtée, la croissance externe envisagée exposera le groupe à des intégrations de parcs hétérogènes non maîtrisées, avec un risque de dette matérielle silencieuse. Le suivi des contrats et garanties (PARC07) reste partiel — des équipements hors garantie ou sous support dégradé passent probablement sous le radar, ce qui fragilise directement les engagements de continuité dans un contexte d'internationalisation. Le point le plus critique est le patch management (PARC11) : l'absence d'un délai cible défini et d'un taux de couverture suivi constitue une exposition cyber concrète, en contradiction directe avec les enjeux cybersécurité et conformité réglementaire (NIS2, potentiellement ISO 27001) portés par la direction. Ces trois lacunes, prises ensemble, forment un angle mort opérationnel qui doit être traité en priorité avant toute opération de croissance externe ou d'ouverture internationale.</w:t>
      </w:r>
    </w:p>
    <w:p>
      <w:pPr>
        <w:pStyle w:val="ListParagraph"/>
        <w:numPr>
          <w:ilvl w:val="0"/>
          <w:numId w:val="1"/>
        </w:numPr>
        <w:spacing w:after="60"/>
      </w:pPr>
      <w:r>
        <w:t xml:space="preserve">PARC03 Partiel — pas de budget prévisionnel ni de durée de vie cible formalisée</w:t>
      </w:r>
    </w:p>
    <w:p>
      <w:pPr>
        <w:pStyle w:val="ListParagraph"/>
        <w:numPr>
          <w:ilvl w:val="0"/>
          <w:numId w:val="1"/>
        </w:numPr>
        <w:spacing w:after="60"/>
      </w:pPr>
      <w:r>
        <w:t xml:space="preserve">PARC07 Partiel — contrats/garanties non centralisés, échéances et niveaux de support non tracés</w:t>
      </w:r>
    </w:p>
    <w:p>
      <w:pPr>
        <w:pStyle w:val="ListParagraph"/>
        <w:numPr>
          <w:ilvl w:val="0"/>
          <w:numId w:val="1"/>
        </w:numPr>
        <w:spacing w:after="60"/>
      </w:pPr>
      <w:r>
        <w:t xml:space="preserve">PARC11 Partiel — patch management sans délai défini ni suivi du taux de couverture (risque cyber critique)</w:t>
      </w:r>
    </w:p>
    <w:p>
      <w:pPr>
        <w:pStyle w:val="ListParagraph"/>
        <w:numPr>
          <w:ilvl w:val="0"/>
          <w:numId w:val="1"/>
        </w:numPr>
        <w:spacing w:after="60"/>
      </w:pPr>
      <w:r>
        <w:t xml:space="preserve">Croissance externe : intégration de parcs hétérogènes sans référentiel de renouvellement = dette matérielle</w:t>
      </w:r>
    </w:p>
    <w:p>
      <w:pPr>
        <w:pStyle w:val="ListParagraph"/>
        <w:numPr>
          <w:ilvl w:val="0"/>
          <w:numId w:val="1"/>
        </w:numPr>
        <w:spacing w:after="60"/>
      </w:pPr>
      <w:r>
        <w:t xml:space="preserve">Internationalisation : équipements hors garantie non détectés = risque de continuité opérationnelle</w:t>
      </w:r>
    </w:p>
    <w:p>
      <w:pPr>
        <w:pStyle w:val="ListParagraph"/>
        <w:numPr>
          <w:ilvl w:val="0"/>
          <w:numId w:val="1"/>
        </w:numPr>
        <w:spacing w:after="60"/>
      </w:pPr>
      <w:r>
        <w:t xml:space="preserve">Conformité/cybersécurité : absence de SLA patch management incompatible avec NIS2 / posture cyber cible</w:t>
      </w:r>
    </w:p>
    <w:p>
      <w:pPr>
        <w:pStyle w:val="Heading2"/>
        <w:spacing w:after="120" w:before="240"/>
      </w:pPr>
      <w:r>
        <w:rPr>
          <w:b/>
          <w:bCs/>
          <w:color w:val="6366F1"/>
          <w:sz w:val="26"/>
          <w:szCs w:val="26"/>
        </w:rPr>
        <w:t xml:space="preserve">Gouvernance IT — Pilotage &amp; alignement stratégique IT (score 6.4/100)</w:t>
      </w:r>
    </w:p>
    <w:p>
      <w:pPr>
        <w:spacing w:after="120"/>
      </w:pPr>
      <w:r>
        <w:t xml:space="preserve">La gouvernance IT de Meridian Group repose sur des bases existantes mais reste structurellement incomplète : sur 14 points évalués, 6 signaux partiels révèlent un pilotage en construction, insuffisant pour soutenir une ETI en croissance externe et en cours d'internationalisation. L'absence de business cases formalisés et de sponsors métier identifiés (GIT02) expose directement les projets de transformation digitale à des dérives de périmètre et à un déficit d'adhésion — risque critique en contexte d'intégration post-acquisition. Le suivi lacunaire des décisions en comité IT (GIT04) et l'absence de tableau de bord KPIs consolidé (GIT09) privent la direction d'une visibilité réelle sur la performance IT, ce qui fragilise la conformité réglementaire et la réponse aux exigences cyber. La gestion des contrats fournisseurs partiellement tenue à jour (GIT07) constitue un risque élevé sur les renouvellements et les SLA, particulièrement sensible lors d'opérations de croissance externe où l'inventaire IT doit être fiable et exhaustif. Enfin, la dépendance aux personnes clés non mitigée (GIT14) et l'absence de priorisation formalisée du portefeuille projets (GIT12) créent une fragilité opérationnelle et une exposition aux départs ou surcharges, incompatibles avec le rythme d'une organisation en transformation.</w:t>
      </w:r>
    </w:p>
    <w:p>
      <w:pPr>
        <w:pStyle w:val="ListParagraph"/>
        <w:numPr>
          <w:ilvl w:val="0"/>
          <w:numId w:val="1"/>
        </w:numPr>
        <w:spacing w:after="60"/>
      </w:pPr>
      <w:r>
        <w:t xml:space="preserve">GIT02 Partiel — business cases et sponsors métier non systématiques : risque critique sur projets de transformation et intégrations M&amp;A</w:t>
      </w:r>
    </w:p>
    <w:p>
      <w:pPr>
        <w:pStyle w:val="ListParagraph"/>
        <w:numPr>
          <w:ilvl w:val="0"/>
          <w:numId w:val="1"/>
        </w:numPr>
        <w:spacing w:after="60"/>
      </w:pPr>
      <w:r>
        <w:t xml:space="preserve">GIT09 Partiel — pas de tableau de bord KPIs consolidé : direction sans visibilité fiable sur la performance IT</w:t>
      </w:r>
    </w:p>
    <w:p>
      <w:pPr>
        <w:pStyle w:val="ListParagraph"/>
        <w:numPr>
          <w:ilvl w:val="0"/>
          <w:numId w:val="1"/>
        </w:numPr>
        <w:spacing w:after="60"/>
      </w:pPr>
      <w:r>
        <w:t xml:space="preserve">GIT07 Partiel — inventaire contrats IT incomplet : exposition sur renouvellements et SLA, risque élevé en croissance externe</w:t>
      </w:r>
    </w:p>
    <w:p>
      <w:pPr>
        <w:pStyle w:val="ListParagraph"/>
        <w:numPr>
          <w:ilvl w:val="0"/>
          <w:numId w:val="1"/>
        </w:numPr>
        <w:spacing w:after="60"/>
      </w:pPr>
      <w:r>
        <w:t xml:space="preserve">GIT12 Partiel — priorisation portefeuille projets non formalisée : arbitrages non tracés, dispersion des ressources IT</w:t>
      </w:r>
    </w:p>
    <w:p>
      <w:pPr>
        <w:pStyle w:val="ListParagraph"/>
        <w:numPr>
          <w:ilvl w:val="0"/>
          <w:numId w:val="1"/>
        </w:numPr>
        <w:spacing w:after="60"/>
      </w:pPr>
      <w:r>
        <w:t xml:space="preserve">GIT14 Partiel — dépendance personnes clés non mitigée : fragilité opérationnelle incompatible avec le rythme de transformation</w:t>
      </w:r>
    </w:p>
    <w:p>
      <w:pPr>
        <w:pStyle w:val="ListParagraph"/>
        <w:numPr>
          <w:ilvl w:val="0"/>
          <w:numId w:val="1"/>
        </w:numPr>
        <w:spacing w:after="60"/>
      </w:pPr>
      <w:r>
        <w:t xml:space="preserve">GIT04 Partiel — suivi des décisions comité IT insuffisant : perte de traçabilité et de continuité dans le pilotage</w:t>
      </w:r>
    </w:p>
    <w:p>
      <w:pPr>
        <w:pStyle w:val="Heading1"/>
        <w:pageBreakBefore/>
        <w:spacing w:after="160" w:before="320"/>
      </w:pPr>
      <w:r>
        <w:rPr>
          <w:b/>
          <w:bCs/>
          <w:color w:val="6366F1"/>
          <w:sz w:val="36"/>
          <w:szCs w:val="36"/>
        </w:rPr>
        <w:t xml:space="preserve">6. Croisement enjeux business / IT</w:t>
      </w:r>
    </w:p>
    <w:p>
      <w:pPr>
        <w:spacing w:after="120"/>
      </w:pPr>
      <w:r>
        <w:t xml:space="preserve">Les cinq enjeux business déclarés par Meridian Group — croissance externe, conformité réglementaire, cybersécurité, transformation digitale et internationalisation — ne sont pas indépendants : ils se renforcent mutuellement et partagent les mêmes points de défaillance IT. La croissance externe sans gouvernance IT structurée (GIT02, GIT12) et sans sécurité des identités consolidée (ZT01, A16, A20) est le scénario de risque le plus probable à court terme : chaque acquisition potentielle devient un vecteur d'exposition cyber et de non-conformité RGPD/NIS2 si les processus d'intégration IT ne sont pas définis en amont. L'internationalisation, quant à elle, exacerbe les lacunes sur les transferts hors UE/EEE (RGPD14), la couverture MDM des entités distantes (MW11, ZT11) et la dépendance aux personnes clés (GIT14) — trois fragilités qui peuvent bloquer des deals ou générer des sanctions réglementaires dans des juridictions à exigences renforcées.</w:t>
      </w:r>
    </w:p>
    <w:p>
      <w:pPr>
        <w:spacing w:after="120"/>
      </w:pPr>
      <w:r>
        <w:t xml:space="preserve">La transformation digitale, enfin, ne peut produire ses effets attendus sans un socle de gouvernance et de sécurité crédible : l'absence de KPI IT reportés à la direction (A06, RISK10, GIT09), le pilotage partiel du portefeuille projets (GIT12) et le déficit de sponsoring direction sur la culture sécurité (SENS09) créent un environnement où les initiatives digitales avancent sans arbitrage éclairé ni ancrage managérial. La conformité réglementaire (NIS2, RGPD, ISO 27001 clients) n'est pas une contrainte séparée : elle est le référentiel qui structure et légitime l'ensemble des actions prioritaires identifiées dans ce plan.</w:t>
      </w:r>
    </w:p>
    <w:p>
      <w:pPr>
        <w:pStyle w:val="Heading1"/>
        <w:pageBreakBefore/>
        <w:spacing w:after="160" w:before="320"/>
      </w:pPr>
      <w:r>
        <w:rPr>
          <w:b/>
          <w:bCs/>
          <w:color w:val="6366F1"/>
          <w:sz w:val="36"/>
          <w:szCs w:val="36"/>
        </w:rPr>
        <w:t xml:space="preserve">7. Risques prioritaires</w:t>
      </w:r>
    </w:p>
    <w:p>
      <w:pPr>
        <w:pStyle w:val="Heading2"/>
        <w:spacing w:after="120" w:before="240"/>
      </w:pPr>
      <w:r>
        <w:rPr>
          <w:b/>
          <w:bCs/>
          <w:color w:val="6366F1"/>
          <w:sz w:val="26"/>
          <w:szCs w:val="26"/>
        </w:rPr>
        <w:t xml:space="preserve">7.b Lecture consolidée</w:t>
      </w:r>
    </w:p>
    <w:p>
      <w:pPr>
        <w:spacing w:after="120"/>
      </w:pPr>
      <w:r>
        <w:rPr>
          <w:b/>
          <w:bCs/>
        </w:rPr>
        <w:t xml:space="preserve">1. Compromission des identités lors d'une intégration post-acquisition</w:t>
      </w:r>
      <w:r>
        <w:t xml:space="preserve"> : comptes partagés, MFA incomplet et annuaire non exhaustif forment un vecteur d'attaque immédiatement exploitable dès l'ouverture du périmètre réseau à une entité acquise. </w:t>
      </w:r>
      <w:r>
        <w:rPr>
          <w:b/>
          <w:bCs/>
        </w:rPr>
        <w:t xml:space="preserve">2. Incident cyber sans capacité de reprise</w:t>
      </w:r>
      <w:r>
        <w:t xml:space="preserve"> : l'absence de sauvegarde 3-2-1 complète, de RTO/RPO validés et de tests de restauration expose Meridian Group à une perte de données irréversible ou à une paralysie opérationnelle prolongée, avec impact contractuel direct sur l'activité de conseil. </w:t>
      </w:r>
      <w:r>
        <w:rPr>
          <w:b/>
          <w:bCs/>
        </w:rPr>
        <w:t xml:space="preserve">3. Sanction réglementaire RGPD/NIS2 ou blocage en due diligence M&amp;A</w:t>
      </w:r>
      <w:r>
        <w:t xml:space="preserve"> : les lacunes sur les transferts hors UE/EEE, la conformité cookies et l'absence de politique de risques révisée sont directement opposables par la CNIL, l'ANSSI ou un acquéreur/client grand compte procédant à un audit de conformité. </w:t>
      </w:r>
      <w:r>
        <w:rPr>
          <w:b/>
          <w:bCs/>
        </w:rPr>
        <w:t xml:space="preserve">4. Dépendance aux personnes clés et perte de continuité IT</w:t>
      </w:r>
      <w:r>
        <w:t xml:space="preserve"> : l'absence de mitigation formelle (GIT14) combinée à l'absence de documentation des décisions IT (GIT04) crée un risque opérationnel majeur en cas de départ ou d'indisponibilité d'un collaborateur clé, amplifié par le rythme de transformation. </w:t>
      </w:r>
      <w:r>
        <w:rPr>
          <w:b/>
          <w:bCs/>
        </w:rPr>
        <w:t xml:space="preserve">5. Dette technique silencieuse importée par la croissance externe</w:t>
      </w:r>
      <w:r>
        <w:t xml:space="preserve"> : sans plan de renouvellement budgété, sans patch management maîtrisé et sans playbook IT M&amp;A, chaque acquisition intègre par défaut des vulnérabilités non cartographiées dans le périmètre de sécurité du groupe.</w:t>
      </w:r>
    </w:p>
    <w:p>
      <w:pPr>
        <w:pStyle w:val="Heading1"/>
        <w:pageBreakBefore/>
        <w:spacing w:after="160" w:before="320"/>
      </w:pPr>
      <w:r>
        <w:rPr>
          <w:b/>
          <w:bCs/>
          <w:color w:val="6366F1"/>
          <w:sz w:val="36"/>
          <w:szCs w:val="36"/>
        </w:rPr>
        <w:t xml:space="preserve">8. Plan d'action 30 / 60 / 90 jours</w:t>
      </w:r>
    </w:p>
    <w:p>
      <w:pPr>
        <w:pStyle w:val="Heading2"/>
        <w:spacing w:after="120" w:before="240"/>
      </w:pPr>
      <w:r>
        <w:rPr>
          <w:b/>
          <w:bCs/>
          <w:color w:val="6366F1"/>
          <w:sz w:val="26"/>
          <w:szCs w:val="26"/>
        </w:rPr>
        <w:t xml:space="preserve">Horizon 30j (4 actions)</w:t>
      </w:r>
    </w:p>
    <w:p>
      <w:pPr>
        <w:spacing w:after="40" w:before="120"/>
      </w:pPr>
      <w:r>
        <w:rPr>
          <w:b/>
          <w:bCs/>
          <w:color w:val="6366F1"/>
        </w:rPr>
        <w:t xml:space="preserve">Consolidation de l'annuaire central et élimination des comptes partagés</w:t>
      </w:r>
      <w:r>
        <w:rPr>
          <w:b/>
          <w:bCs/>
          <w:color w:val="FFFFFF"/>
          <w:highlight w:val="red"/>
          <w:highlightCs w:val="red"/>
        </w:rPr>
        <w:t xml:space="preserve"> [Critique] </w:t>
      </w:r>
    </w:p>
    <w:p>
      <w:pPr>
        <w:spacing w:after="40"/>
      </w:pPr>
      <w:r>
        <w:rPr>
          <w:i/>
          <w:iCs/>
          <w:color w:val="475569"/>
          <w:sz w:val="18"/>
          <w:szCs w:val="18"/>
        </w:rPr>
        <w:t xml:space="preserve">Axe : Sécurité des identités &amp; accès  ·  Source : diagnostic-zero-trust</w:t>
      </w:r>
    </w:p>
    <w:p>
      <w:pPr>
        <w:spacing w:after="120"/>
      </w:pPr>
      <w:r>
        <w:t xml:space="preserve">Les comptes partagés (diagnostic-express) et l'annuaire incomplet sur prestataires/comptes de service (ZT01) constituent le vecteur d'attaque le plus immédiat et le plus exploitable. En contexte de croissance externe, chaque identité non maîtrisée est une porte d'entrée potentielle. Action : inventaire exhaustif des comptes, désactivation des comptes partagés, intégration des comptes de service et prestataires dans l'annuaire central avec cycle de vie défini.</w:t>
      </w:r>
    </w:p>
    <w:p>
      <w:pPr>
        <w:spacing w:after="40" w:before="120"/>
      </w:pPr>
      <w:r>
        <w:rPr>
          <w:b/>
          <w:bCs/>
          <w:color w:val="6366F1"/>
        </w:rPr>
        <w:t xml:space="preserve">Déploiement MFA résistant au phishing sur comptes sensibles et administrateurs</w:t>
      </w:r>
      <w:r>
        <w:rPr>
          <w:b/>
          <w:bCs/>
          <w:color w:val="FFFFFF"/>
          <w:highlight w:val="red"/>
          <w:highlightCs w:val="red"/>
        </w:rPr>
        <w:t xml:space="preserve"> [Critique] </w:t>
      </w:r>
    </w:p>
    <w:p>
      <w:pPr>
        <w:spacing w:after="40"/>
      </w:pPr>
      <w:r>
        <w:rPr>
          <w:i/>
          <w:iCs/>
          <w:color w:val="475569"/>
          <w:sz w:val="18"/>
          <w:szCs w:val="18"/>
        </w:rPr>
        <w:t xml:space="preserve">Axe : Sécurité des identités &amp; accès  ·  Source : diagnostic-avance</w:t>
      </w:r>
    </w:p>
    <w:p>
      <w:pPr>
        <w:spacing w:after="120"/>
      </w:pPr>
      <w:r>
        <w:t xml:space="preserve">Le MFA incomplet (A16) et l'authentification SMS/OTP sur comptes sensibles (ZT06) représentent le risque de compromission le plus probable à court terme, notamment lors d'opérations d'ingénierie sociale ciblant une ETI en croissance. Action : déploiement FIDO2/passkeys ou certificats sur tous les comptes administrateurs et accès critiques dans les 30 jours, extension au reste du parc à 60 jours.</w:t>
      </w:r>
    </w:p>
    <w:p>
      <w:pPr>
        <w:spacing w:after="40" w:before="120"/>
      </w:pPr>
      <w:r>
        <w:rPr>
          <w:b/>
          <w:bCs/>
          <w:color w:val="6366F1"/>
        </w:rPr>
        <w:t xml:space="preserve">Audit et plan de remédiation sauvegarde 3-2-1 avec RTO/RPO documentés</w:t>
      </w:r>
      <w:r>
        <w:rPr>
          <w:b/>
          <w:bCs/>
          <w:color w:val="FFFFFF"/>
          <w:highlight w:val="red"/>
          <w:highlightCs w:val="red"/>
        </w:rPr>
        <w:t xml:space="preserve"> [Critique] </w:t>
      </w:r>
    </w:p>
    <w:p>
      <w:pPr>
        <w:spacing w:after="40"/>
      </w:pPr>
      <w:r>
        <w:rPr>
          <w:i/>
          <w:iCs/>
          <w:color w:val="475569"/>
          <w:sz w:val="18"/>
          <w:szCs w:val="18"/>
        </w:rPr>
        <w:t xml:space="preserve">Axe : Résilience opérationnelle  ·  Source : modern-workplace</w:t>
      </w:r>
    </w:p>
    <w:p>
      <w:pPr>
        <w:spacing w:after="120"/>
      </w:pPr>
      <w:r>
        <w:t xml:space="preserve">La sauvegarde 3-2-1 incomplète (MW23) et l'absence de RTO/RPO validés (MW27) combinées à l'absence de tests de restauration (A41) constituent le risque opérationnel le plus grave : un incident cyber sans plan de reprise chiffré peut paralyser l'activité de conseil et engager la responsabilité contractuelle de Meridian Group. Action immédiate : audit de l'existant, identification des gaps, plan de remédiation budgété avec premiers tests de restauration planifiés.</w:t>
      </w:r>
    </w:p>
    <w:p>
      <w:pPr>
        <w:spacing w:after="40" w:before="120"/>
      </w:pPr>
      <w:r>
        <w:rPr>
          <w:b/>
          <w:bCs/>
          <w:color w:val="6366F1"/>
        </w:rPr>
        <w:t xml:space="preserve">Mise en conformité RGPD : transferts hors UE/EEE et politique cookies</w:t>
      </w:r>
      <w:r>
        <w:rPr>
          <w:b/>
          <w:bCs/>
          <w:color w:val="FFFFFF"/>
          <w:highlight w:val="red"/>
          <w:highlightCs w:val="red"/>
        </w:rPr>
        <w:t xml:space="preserve"> [Critique] </w:t>
      </w:r>
    </w:p>
    <w:p>
      <w:pPr>
        <w:spacing w:after="40"/>
      </w:pPr>
      <w:r>
        <w:rPr>
          <w:i/>
          <w:iCs/>
          <w:color w:val="475569"/>
          <w:sz w:val="18"/>
          <w:szCs w:val="18"/>
        </w:rPr>
        <w:t xml:space="preserve">Axe : Conformité réglementaire  ·  Source : diagnostic-rgpd</w:t>
      </w:r>
    </w:p>
    <w:p>
      <w:pPr>
        <w:spacing w:after="120"/>
      </w:pPr>
      <w:r>
        <w:t xml:space="preserve">Les transferts hors UE/EEE sans mécanismes post-Schrems II validés (RGPD14) et la non-conformité du bandeau cookies (RGPD10) sont les deux points les plus immédiatement opposables par la CNIL et les plus bloquants en due diligence M&amp;A. Action : cartographie des flux SaaS tiers avec transferts hors EEE, mise en place des SCCs ou BCRs manquantes, refonte du bandeau cookies conforme aux recommandations CNIL.</w:t>
      </w:r>
    </w:p>
    <w:p>
      <w:pPr>
        <w:pStyle w:val="Heading2"/>
        <w:spacing w:after="120" w:before="240"/>
      </w:pPr>
      <w:r>
        <w:rPr>
          <w:b/>
          <w:bCs/>
          <w:color w:val="6366F1"/>
          <w:sz w:val="26"/>
          <w:szCs w:val="26"/>
        </w:rPr>
        <w:t xml:space="preserve">Horizon 60j (4 actions)</w:t>
      </w:r>
    </w:p>
    <w:p>
      <w:pPr>
        <w:spacing w:after="40" w:before="120"/>
      </w:pPr>
      <w:r>
        <w:rPr>
          <w:b/>
          <w:bCs/>
          <w:color w:val="6366F1"/>
        </w:rPr>
        <w:t xml:space="preserve">Déploiement patch management avec délai cible ≤30j et tableau de bord de couverture</w:t>
      </w:r>
      <w:r>
        <w:rPr>
          <w:b/>
          <w:bCs/>
          <w:color w:val="FFFFFF"/>
          <w:highlight w:val="yellow"/>
          <w:highlightCs w:val="yellow"/>
        </w:rPr>
        <w:t xml:space="preserve"> [Élevé] </w:t>
      </w:r>
    </w:p>
    <w:p>
      <w:pPr>
        <w:spacing w:after="40"/>
      </w:pPr>
      <w:r>
        <w:rPr>
          <w:i/>
          <w:iCs/>
          <w:color w:val="475569"/>
          <w:sz w:val="18"/>
          <w:szCs w:val="18"/>
        </w:rPr>
        <w:t xml:space="preserve">Axe : Sécurité du parc &amp; endpoints  ·  Source : diagnostic-parc-it</w:t>
      </w:r>
    </w:p>
    <w:p>
      <w:pPr>
        <w:spacing w:after="120"/>
      </w:pPr>
      <w:r>
        <w:t xml:space="preserve">L'absence de délai cible et de taux de couverture suivi pour le patch management (PARC11, MW15) crée une exposition cyber concrète et une non-conformité NIS2/ISO 27001. En contexte de croissance externe, les parcs absorbés sans patch management maîtrisé deviennent immédiatement un risque pour l'ensemble du groupe. Action : définition de la politique (délai ≤30j critique, ≤90j standard), outillage ou activation des fonctionnalités existantes, premier reporting direction.</w:t>
      </w:r>
    </w:p>
    <w:p>
      <w:pPr>
        <w:spacing w:after="40" w:before="120"/>
      </w:pPr>
      <w:r>
        <w:rPr>
          <w:b/>
          <w:bCs/>
          <w:color w:val="6366F1"/>
        </w:rPr>
        <w:t xml:space="preserve">Finalisation de la cartographie des applications et données critiques</w:t>
      </w:r>
      <w:r>
        <w:rPr>
          <w:b/>
          <w:bCs/>
          <w:color w:val="FFFFFF"/>
          <w:highlight w:val="yellow"/>
          <w:highlightCs w:val="yellow"/>
        </w:rPr>
        <w:t xml:space="preserve"> [Élevé] </w:t>
      </w:r>
    </w:p>
    <w:p>
      <w:pPr>
        <w:spacing w:after="40"/>
      </w:pPr>
      <w:r>
        <w:rPr>
          <w:i/>
          <w:iCs/>
          <w:color w:val="475569"/>
          <w:sz w:val="18"/>
          <w:szCs w:val="18"/>
        </w:rPr>
        <w:t xml:space="preserve">Axe : Gouvernance IT &amp; résilience  ·  Source : diagnostic-express</w:t>
      </w:r>
    </w:p>
    <w:p>
      <w:pPr>
        <w:spacing w:after="120"/>
      </w:pPr>
      <w:r>
        <w:t xml:space="preserve">L'absence de cartographie finalisée et révisée annuellement fragilise toute due diligence, tout plan de continuité et toute analyse de risque (RISK04). C'est un prérequis à la fois pour NIS2 (identification des actifs essentiels), pour ISO 27001 (périmètre SMSI) et pour les opérations M&amp;A. Action : atelier de cartographie avec DSI et métiers, validation COMEX, intégration dans le processus de révision annuelle.</w:t>
      </w:r>
    </w:p>
    <w:p>
      <w:pPr>
        <w:spacing w:after="40" w:before="120"/>
      </w:pPr>
      <w:r>
        <w:rPr>
          <w:b/>
          <w:bCs/>
          <w:color w:val="6366F1"/>
        </w:rPr>
        <w:t xml:space="preserve">Mise en place du tableau de bord KPI IT/cyber reporté mensuellement à la direction</w:t>
      </w:r>
      <w:r>
        <w:rPr>
          <w:b/>
          <w:bCs/>
          <w:color w:val="FFFFFF"/>
          <w:highlight w:val="yellow"/>
          <w:highlightCs w:val="yellow"/>
        </w:rPr>
        <w:t xml:space="preserve"> [Élevé] </w:t>
      </w:r>
    </w:p>
    <w:p>
      <w:pPr>
        <w:spacing w:after="40"/>
      </w:pPr>
      <w:r>
        <w:rPr>
          <w:i/>
          <w:iCs/>
          <w:color w:val="475569"/>
          <w:sz w:val="18"/>
          <w:szCs w:val="18"/>
        </w:rPr>
        <w:t xml:space="preserve">Axe : Gouvernance &amp; pilotage  ·  Source : diagnostic-gouvernance-it</w:t>
      </w:r>
    </w:p>
    <w:p>
      <w:pPr>
        <w:spacing w:after="120"/>
      </w:pPr>
      <w:r>
        <w:t xml:space="preserve">L'absence de KPI IT communiqués à la direction (A06, GIT09, RISK10) prive le COMEX de toute visibilité sur le profil de risque et la performance IT, rendant impossible tout arbitrage éclairé des investissements en transformation digitale. Action : définition de 8-12 KRI/KPI (couverture MFA, taux patch, disponibilité, incidents, conformité RGPD), outillage dashboard, premier reporting COMEX à J+60.</w:t>
      </w:r>
    </w:p>
    <w:p>
      <w:pPr>
        <w:spacing w:after="40" w:before="120"/>
      </w:pPr>
      <w:r>
        <w:rPr>
          <w:b/>
          <w:bCs/>
          <w:color w:val="6366F1"/>
        </w:rPr>
        <w:t xml:space="preserve">Formalisation du programme de sensibilisation cybersécurité avec calendrier annuel et sponsoring DG</w:t>
      </w:r>
      <w:r>
        <w:rPr>
          <w:b/>
          <w:bCs/>
          <w:color w:val="FFFFFF"/>
          <w:highlight w:val="yellow"/>
          <w:highlightCs w:val="yellow"/>
        </w:rPr>
        <w:t xml:space="preserve"> [Élevé] </w:t>
      </w:r>
    </w:p>
    <w:p>
      <w:pPr>
        <w:spacing w:after="40"/>
      </w:pPr>
      <w:r>
        <w:rPr>
          <w:i/>
          <w:iCs/>
          <w:color w:val="475569"/>
          <w:sz w:val="18"/>
          <w:szCs w:val="18"/>
        </w:rPr>
        <w:t xml:space="preserve">Axe : Culture sécurité  ·  Source : diagnostic-sensibilisation</w:t>
      </w:r>
    </w:p>
    <w:p>
      <w:pPr>
        <w:spacing w:after="120"/>
      </w:pPr>
      <w:r>
        <w:t xml:space="preserve">L'absence de programme structuré (SENS01) et le sponsoring DG partiel (SENS09) rendent impossible toute démonstration de conformité NIS2/DORA et fragilisent la culture sécurité lors des intégrations post-acquisition. Action : définition du programme annuel (phishing simulé, modules e-learning, alertes situationnelles), budget dédié, engagement formel de la DG, intégration à l'onboarding (A62).</w:t>
      </w:r>
    </w:p>
    <w:p>
      <w:pPr>
        <w:pStyle w:val="Heading2"/>
        <w:spacing w:after="120" w:before="240"/>
      </w:pPr>
      <w:r>
        <w:rPr>
          <w:b/>
          <w:bCs/>
          <w:color w:val="6366F1"/>
          <w:sz w:val="26"/>
          <w:szCs w:val="26"/>
        </w:rPr>
        <w:t xml:space="preserve">Horizon 90j (4 actions)</w:t>
      </w:r>
    </w:p>
    <w:p>
      <w:pPr>
        <w:spacing w:after="40" w:before="120"/>
      </w:pPr>
      <w:r>
        <w:rPr>
          <w:b/>
          <w:bCs/>
          <w:color w:val="6366F1"/>
        </w:rPr>
        <w:t xml:space="preserve">Déploiement MDM/UEM sur l'intégralité du parc et encadrement technique du BYOD</w:t>
      </w:r>
      <w:r>
        <w:rPr>
          <w:b/>
          <w:bCs/>
          <w:color w:val="FFFFFF"/>
          <w:highlight w:val="yellow"/>
          <w:highlightCs w:val="yellow"/>
        </w:rPr>
        <w:t xml:space="preserve"> [Élevé] </w:t>
      </w:r>
    </w:p>
    <w:p>
      <w:pPr>
        <w:spacing w:after="40"/>
      </w:pPr>
      <w:r>
        <w:rPr>
          <w:i/>
          <w:iCs/>
          <w:color w:val="475569"/>
          <w:sz w:val="18"/>
          <w:szCs w:val="18"/>
        </w:rPr>
        <w:t xml:space="preserve">Axe : Sécurité des endpoints  ·  Source : diagnostic-zero-trust</w:t>
      </w:r>
    </w:p>
    <w:p>
      <w:pPr>
        <w:spacing w:after="120"/>
      </w:pPr>
      <w:r>
        <w:t xml:space="preserve">L'enrôlement MDM partiel (ZT11, MW11) et le BYOD non encadré techniquement (ZT14) créent des angles morts sur la surface d'attaque endpoint, incompatibles avec NIS2 et ISO 27001. En contexte d'internationalisation, les entités distantes sans MDM sont les premières cibles. Action : couverture 100% du parc managé, politique BYOD avec conteneurisation ou accès conditionnel, validation par audit de conformité.</w:t>
      </w:r>
    </w:p>
    <w:p>
      <w:pPr>
        <w:spacing w:after="40" w:before="120"/>
      </w:pPr>
      <w:r>
        <w:rPr>
          <w:b/>
          <w:bCs/>
          <w:color w:val="6366F1"/>
        </w:rPr>
        <w:t xml:space="preserve">Structuration de la gouvernance des risques IT : révision annuelle politique, KRI et traçabilité des décisions</w:t>
      </w:r>
      <w:r>
        <w:rPr>
          <w:b/>
          <w:bCs/>
          <w:color w:val="FFFFFF"/>
          <w:highlight w:val="yellow"/>
          <w:highlightCs w:val="yellow"/>
        </w:rPr>
        <w:t xml:space="preserve"> [Élevé] </w:t>
      </w:r>
    </w:p>
    <w:p>
      <w:pPr>
        <w:spacing w:after="40"/>
      </w:pPr>
      <w:r>
        <w:rPr>
          <w:i/>
          <w:iCs/>
          <w:color w:val="475569"/>
          <w:sz w:val="18"/>
          <w:szCs w:val="18"/>
        </w:rPr>
        <w:t xml:space="preserve">Axe : Gouvernance &amp; pilotage des risques  ·  Source : diagnostic-gestion-risques</w:t>
      </w:r>
    </w:p>
    <w:p>
      <w:pPr>
        <w:spacing w:after="120"/>
      </w:pPr>
      <w:r>
        <w:t xml:space="preserve">La politique de risques non révisée (RISK01), les scénarios stratégiques non couverts (RISK04), l'absence de traçabilité des décisions de traitement (RISK07) et l'absence de KRI (RISK10) forment un déficit de gouvernance systémique qui fragilise l'assurabilité cyber et la conformité NIS2. Action : révision de la politique, atelier de mise à jour de l'analyse de risques, formalisation du registre des décisions, intégration des KRI au tableau de bord direction.</w:t>
      </w:r>
    </w:p>
    <w:p>
      <w:pPr>
        <w:spacing w:after="40" w:before="120"/>
      </w:pPr>
      <w:r>
        <w:rPr>
          <w:b/>
          <w:bCs/>
          <w:color w:val="6366F1"/>
        </w:rPr>
        <w:t xml:space="preserve">Préparation à la facturation électronique obligatoire (échéance 01/09/2026)</w:t>
      </w:r>
      <w:r>
        <w:rPr>
          <w:b/>
          <w:bCs/>
          <w:color w:val="FFFFFF"/>
          <w:highlight w:val="yellow"/>
          <w:highlightCs w:val="yellow"/>
        </w:rPr>
        <w:t xml:space="preserve"> [Élevé] </w:t>
      </w:r>
    </w:p>
    <w:p>
      <w:pPr>
        <w:spacing w:after="40"/>
      </w:pPr>
      <w:r>
        <w:rPr>
          <w:i/>
          <w:iCs/>
          <w:color w:val="475569"/>
          <w:sz w:val="18"/>
          <w:szCs w:val="18"/>
        </w:rPr>
        <w:t xml:space="preserve">Axe : Conformité réglementaire  ·  Source : diagnostic-express</w:t>
      </w:r>
    </w:p>
    <w:p>
      <w:pPr>
        <w:spacing w:after="120"/>
      </w:pPr>
      <w:r>
        <w:t xml:space="preserve">La non-préparation à la facturation électronique constitue une échéance réglementaire non négociable avec un délai d'exécution qui se resserre pour une ETI de 300-499 collaborateurs. Le risque de blocage opérationnel à la date butoir est réel. Action : désignation d'un chef de projet, choix de la plateforme de dématérialisation partenaire (PDP), cartographie des flux de facturation, plan de déploiement avec jalons trimestriels.</w:t>
      </w:r>
    </w:p>
    <w:p>
      <w:pPr>
        <w:spacing w:after="40" w:before="120"/>
      </w:pPr>
      <w:r>
        <w:rPr>
          <w:b/>
          <w:bCs/>
          <w:color w:val="6366F1"/>
        </w:rPr>
        <w:t xml:space="preserve">Formalisation du processus d'intégration IT post-acquisition (IT M&amp;A Playbook)</w:t>
      </w:r>
      <w:r>
        <w:rPr>
          <w:b/>
          <w:bCs/>
          <w:color w:val="FFFFFF"/>
          <w:highlight w:val="cyan"/>
          <w:highlightCs w:val="cyan"/>
        </w:rPr>
        <w:t xml:space="preserve"> [Modéré] </w:t>
      </w:r>
    </w:p>
    <w:p>
      <w:pPr>
        <w:spacing w:after="40"/>
      </w:pPr>
      <w:r>
        <w:rPr>
          <w:i/>
          <w:iCs/>
          <w:color w:val="475569"/>
          <w:sz w:val="18"/>
          <w:szCs w:val="18"/>
        </w:rPr>
        <w:t xml:space="preserve">Axe : Croissance externe &amp; gouvernance  ·  Source : diagnostic-gouvernance-it</w:t>
      </w:r>
    </w:p>
    <w:p>
      <w:pPr>
        <w:spacing w:after="120"/>
      </w:pPr>
      <w:r>
        <w:t xml:space="preserve">L'absence de business cases formalisés (GIT02), de portefeuille projets priorisé (GIT12) et de processus d'intégration IT structuré expose chaque opération de croissance externe à des risques cyber, de dette technique et de non-conformité importés. Action : rédaction du playbook IT M&amp;A (due diligence IT, intégration annuaire, migration parc, conformité RGPD/NIS2), validation COMEX, test sur la prochaine opération.</w:t>
      </w:r>
    </w:p>
    <w:p>
      <w:pPr>
        <w:pStyle w:val="Heading1"/>
        <w:pageBreakBefore/>
        <w:spacing w:after="160" w:before="320"/>
      </w:pPr>
      <w:r>
        <w:rPr>
          <w:b/>
          <w:bCs/>
          <w:color w:val="6366F1"/>
          <w:sz w:val="36"/>
          <w:szCs w:val="36"/>
        </w:rPr>
        <w:t xml:space="preserve">9. Recommandation de cadrage</w:t>
      </w:r>
    </w:p>
    <w:p>
      <w:pPr>
        <w:spacing w:after="120"/>
      </w:pPr>
      <w:r>
        <w:t xml:space="preserve">Au regard de l'ensemble des constats, il est recommandé de lancer immédiatement une mission DSI à temps partagé avec un mandat explicite de transformation sur 12 mois, structurée en trois phases : stabilisation sécuritaire et conformité (J0-J90, ce plan d'action), consolidation de la gouvernance IT et du socle Zero Trust (J90-J180), puis préparation à la certification ISO 27001 et outillage du M&amp;A IT (J180-J360). La priorité absolue des 30 premiers jours doit être la sécurité des identités et la résilience des sauvegardes — deux domaines où une défaillance peut survenir avant même que les autres chantiers soient engagés. Il est également recommandé de présenter ce plan au COMEX dans les deux semaines, avec un engagement formel de la DG sur le sponsoring de la culture sécurité et l'allocation d'un budget dédié : sans portage au plus haut niveau, les actions techniques resteront des exercices sans ancrage organisationnel.</w:t>
      </w:r>
    </w:p>
    <w:p>
      <w:pPr>
        <w:pStyle w:val="Heading1"/>
        <w:pageBreakBefore/>
        <w:spacing w:after="160" w:before="320"/>
      </w:pPr>
      <w:r>
        <w:rPr>
          <w:b/>
          <w:bCs/>
          <w:color w:val="6366F1"/>
          <w:sz w:val="36"/>
          <w:szCs w:val="36"/>
        </w:rPr>
        <w:t xml:space="preserve">10. Liens avec les livrables existants</w:t>
      </w:r>
    </w:p>
    <w:p>
      <w:pPr>
        <w:pStyle w:val="ListParagraph"/>
        <w:numPr>
          <w:ilvl w:val="0"/>
          <w:numId w:val="1"/>
        </w:numPr>
        <w:spacing w:after="60"/>
      </w:pPr>
      <w:r>
        <w:t xml:space="preserve">Mini-audit MA-TEST-ETI-001-cmq11v — statut : delivered · score 65/100</w:t>
      </w:r>
    </w:p>
    <w:p>
      <w:pPr>
        <w:pStyle w:val="ListParagraph"/>
        <w:numPr>
          <w:ilvl w:val="0"/>
          <w:numId w:val="1"/>
        </w:numPr>
        <w:spacing w:after="60"/>
      </w:pPr>
      <w:r>
        <w:t xml:space="preserve">SOW STEL-DEMO-ETI-cmq11v — type : initial · statut : accepted</w:t>
      </w:r>
    </w:p>
    <w:p>
      <w:pPr>
        <w:pStyle w:val="Heading1"/>
        <w:pageBreakBefore/>
        <w:spacing w:after="160" w:before="320"/>
      </w:pPr>
      <w:r>
        <w:rPr>
          <w:b/>
          <w:bCs/>
          <w:color w:val="6366F1"/>
          <w:sz w:val="36"/>
          <w:szCs w:val="36"/>
        </w:rPr>
        <w:t xml:space="preserve">Annexe A — À propos de Cabinet Démo</w:t>
      </w:r>
    </w:p>
    <w:p>
      <w:pPr>
        <w:spacing w:after="120"/>
      </w:pPr>
      <w:r>
        <w:rPr>
          <w:i/>
          <w:iCs/>
          <w:color w:val="475569"/>
        </w:rPr>
        <w:t xml:space="preserve">DSI à temps partagé pour PME et ETI</w:t>
      </w:r>
    </w:p>
    <w:p>
      <w:pPr>
        <w:pStyle w:val="Heading2"/>
        <w:spacing w:after="120" w:before="240"/>
      </w:pPr>
      <w:r>
        <w:rPr>
          <w:b/>
          <w:bCs/>
          <w:color w:val="6366F1"/>
          <w:sz w:val="26"/>
          <w:szCs w:val="26"/>
        </w:rPr>
        <w:t xml:space="preserve">Notre rôle — 4 verbes</w:t>
      </w:r>
    </w:p>
    <w:p>
      <w:pPr>
        <w:pStyle w:val="ListParagraph"/>
        <w:numPr>
          <w:ilvl w:val="0"/>
          <w:numId w:val="1"/>
        </w:numPr>
        <w:spacing w:after="60"/>
      </w:pPr>
      <w:r>
        <w:rPr>
          <w:b/>
          <w:bCs/>
        </w:rPr>
        <w:t xml:space="preserve">Analyser — </w:t>
      </w:r>
      <w:r>
        <w:t xml:space="preserve">Lire la situation IT au regard des enjeux business du dirigeant, sans jargon ni biais éditeur.</w:t>
      </w:r>
    </w:p>
    <w:p>
      <w:pPr>
        <w:pStyle w:val="ListParagraph"/>
        <w:numPr>
          <w:ilvl w:val="0"/>
          <w:numId w:val="1"/>
        </w:numPr>
        <w:spacing w:after="60"/>
      </w:pPr>
      <w:r>
        <w:rPr>
          <w:b/>
          <w:bCs/>
        </w:rPr>
        <w:t xml:space="preserve">Piloter — </w:t>
      </w:r>
      <w:r>
        <w:t xml:space="preserve">Tenir le cap des chantiers IT (sécurité, conformité, projets) sans se substituer aux équipes opérationnelles.</w:t>
      </w:r>
    </w:p>
    <w:p>
      <w:pPr>
        <w:pStyle w:val="ListParagraph"/>
        <w:numPr>
          <w:ilvl w:val="0"/>
          <w:numId w:val="1"/>
        </w:numPr>
        <w:spacing w:after="60"/>
      </w:pPr>
      <w:r>
        <w:rPr>
          <w:b/>
          <w:bCs/>
        </w:rPr>
        <w:t xml:space="preserve">Arbitrer — </w:t>
      </w:r>
      <w:r>
        <w:t xml:space="preserve">Choisir entre options techniques, contractuelles ou financières sur la base de critères objectifs et tracés.</w:t>
      </w:r>
    </w:p>
    <w:p>
      <w:pPr>
        <w:pStyle w:val="ListParagraph"/>
        <w:numPr>
          <w:ilvl w:val="0"/>
          <w:numId w:val="1"/>
        </w:numPr>
        <w:spacing w:after="60"/>
      </w:pPr>
      <w:r>
        <w:rPr>
          <w:b/>
          <w:bCs/>
        </w:rPr>
        <w:t xml:space="preserve">Restituer — </w:t>
      </w:r>
      <w:r>
        <w:t xml:space="preserve">Rendre compte au dirigeant en langage de décision : décisions à prendre, risques, budgets, jalons.</w:t>
      </w:r>
    </w:p>
    <w:p>
      <w:pPr>
        <w:pStyle w:val="Heading2"/>
        <w:spacing w:after="120" w:before="240"/>
      </w:pPr>
      <w:r>
        <w:rPr>
          <w:b/>
          <w:bCs/>
          <w:color w:val="6366F1"/>
          <w:sz w:val="26"/>
          <w:szCs w:val="26"/>
        </w:rPr>
        <w:t xml:space="preserve">Frontière MOA / MOE</w:t>
      </w:r>
    </w:p>
    <w:p>
      <w:pPr>
        <w:spacing w:after="80"/>
      </w:pPr>
      <w:r>
        <w:rPr>
          <w:b/>
          <w:bCs/>
        </w:rPr>
        <w:t xml:space="preserve">Ce que nous faisons :</w:t>
      </w:r>
    </w:p>
    <w:p>
      <w:pPr>
        <w:pStyle w:val="ListParagraph"/>
        <w:numPr>
          <w:ilvl w:val="0"/>
          <w:numId w:val="1"/>
        </w:numPr>
        <w:spacing w:after="60"/>
      </w:pPr>
      <w:r>
        <w:t xml:space="preserve">Analyse, pilotage, arbitrage, restitution</w:t>
      </w:r>
    </w:p>
    <w:p>
      <w:pPr>
        <w:pStyle w:val="ListParagraph"/>
        <w:numPr>
          <w:ilvl w:val="0"/>
          <w:numId w:val="1"/>
        </w:numPr>
        <w:spacing w:after="60"/>
      </w:pPr>
      <w:r>
        <w:t xml:space="preserve">Cadrage et rédaction de cahiers des charges</w:t>
      </w:r>
    </w:p>
    <w:p>
      <w:pPr>
        <w:pStyle w:val="ListParagraph"/>
        <w:numPr>
          <w:ilvl w:val="0"/>
          <w:numId w:val="1"/>
        </w:numPr>
        <w:spacing w:after="60"/>
      </w:pPr>
      <w:r>
        <w:t xml:space="preserve">Sélection prestataires (RFP, RFI, scoring)</w:t>
      </w:r>
    </w:p>
    <w:p>
      <w:pPr>
        <w:pStyle w:val="ListParagraph"/>
        <w:numPr>
          <w:ilvl w:val="0"/>
          <w:numId w:val="1"/>
        </w:numPr>
        <w:spacing w:after="60"/>
      </w:pPr>
      <w:r>
        <w:t xml:space="preserve">Pilotage de la conformité (RGPD, sécurité, souveraineté)</w:t>
      </w:r>
    </w:p>
    <w:p>
      <w:pPr>
        <w:pStyle w:val="ListParagraph"/>
        <w:numPr>
          <w:ilvl w:val="0"/>
          <w:numId w:val="1"/>
        </w:numPr>
        <w:spacing w:after="60"/>
      </w:pPr>
      <w:r>
        <w:t xml:space="preserve">Gouvernance IT et reporting dirigeant</w:t>
      </w:r>
    </w:p>
    <w:p>
      <w:pPr>
        <w:spacing w:after="80" w:before="120"/>
      </w:pPr>
      <w:r>
        <w:rPr>
          <w:b/>
          <w:bCs/>
        </w:rPr>
        <w:t xml:space="preserve">Ce que nous ne faisons pas :</w:t>
      </w:r>
    </w:p>
    <w:p>
      <w:pPr>
        <w:pStyle w:val="ListParagraph"/>
        <w:numPr>
          <w:ilvl w:val="0"/>
          <w:numId w:val="1"/>
        </w:numPr>
        <w:spacing w:after="60"/>
      </w:pPr>
      <w:r>
        <w:t xml:space="preserve">Mise en œuvre technique (MOE) — déploiements, configurations, intégrations</w:t>
      </w:r>
    </w:p>
    <w:p>
      <w:pPr>
        <w:pStyle w:val="ListParagraph"/>
        <w:numPr>
          <w:ilvl w:val="0"/>
          <w:numId w:val="1"/>
        </w:numPr>
        <w:spacing w:after="60"/>
      </w:pPr>
      <w:r>
        <w:t xml:space="preserve">Tierce maintenance applicative ou infogérance opérationnelle</w:t>
      </w:r>
    </w:p>
    <w:p>
      <w:pPr>
        <w:pStyle w:val="ListParagraph"/>
        <w:numPr>
          <w:ilvl w:val="0"/>
          <w:numId w:val="1"/>
        </w:numPr>
        <w:spacing w:after="60"/>
      </w:pPr>
      <w:r>
        <w:t xml:space="preserve">Hotline utilisateur ou support N1/N2</w:t>
      </w:r>
    </w:p>
    <w:p>
      <w:pPr>
        <w:pStyle w:val="ListParagraph"/>
        <w:numPr>
          <w:ilvl w:val="0"/>
          <w:numId w:val="1"/>
        </w:numPr>
        <w:spacing w:after="60"/>
      </w:pPr>
      <w:r>
        <w:t xml:space="preserve">Revente de licences éditeur (sauf demande explicite, voir CGV art. 7.2)</w:t>
      </w:r>
    </w:p>
    <w:p>
      <w:pPr>
        <w:pStyle w:val="Heading2"/>
        <w:spacing w:after="120" w:before="240"/>
      </w:pPr>
      <w:r>
        <w:rPr>
          <w:b/>
          <w:bCs/>
          <w:color w:val="6366F1"/>
          <w:sz w:val="26"/>
          <w:szCs w:val="26"/>
        </w:rPr>
        <w:t xml:space="preserve">Souveraineté</w:t>
      </w:r>
    </w:p>
    <w:p>
      <w:pPr>
        <w:spacing w:after="200"/>
      </w:pPr>
      <w:r>
        <w:rPr>
          <w:b/>
          <w:bCs/>
        </w:rPr>
        <w:t xml:space="preserve">Ordre de préférence : FR &gt; EU &gt; US. </w:t>
      </w:r>
      <w:r>
        <w:t xml:space="preserve">Préférer les solutions souveraines françaises ou européennes lorsqu'elles couvrent fonctionnellement le besoin. Une solution US n'est retenue que si aucune alternative FR/EU ne couvre le besoin métier ou si le client ancre déjà sa stack chez un éditeur US et que la bascule serait disproportionnée.</w:t>
      </w:r>
    </w:p>
    <w:p>
      <w:pPr>
        <w:pStyle w:val="Heading1"/>
        <w:pageBreakBefore/>
        <w:spacing w:after="160" w:before="320"/>
      </w:pPr>
      <w:r>
        <w:rPr>
          <w:b/>
          <w:bCs/>
          <w:color w:val="6366F1"/>
          <w:sz w:val="36"/>
          <w:szCs w:val="36"/>
        </w:rPr>
        <w:t xml:space="preserve">Annexe B — Méta-analyse IA</w:t>
      </w:r>
    </w:p>
    <w:p>
      <w:r>
        <w:rPr>
          <w:color w:val="475569"/>
        </w:rPr>
        <w:t xml:space="preserve">Analyse générée le </w:t>
      </w:r>
      <w:r>
        <w:rPr>
          <w:b/>
          <w:bCs/>
        </w:rPr>
        <w:t xml:space="preserve">2026-07-23T08:21:24.904Z</w:t>
      </w:r>
      <w:r>
        <w:rPr>
          <w:color w:val="475569"/>
        </w:rPr>
        <w:t xml:space="preserve">  ·  Backend : </w:t>
      </w:r>
      <w:r>
        <w:rPr>
          <w:b/>
          <w:bCs/>
          <w:color w:val="0E5C73"/>
        </w:rPr>
        <w:t xml:space="preserve">sections</w:t>
      </w:r>
      <w:r>
        <w:rPr>
          <w:color w:val="475569"/>
        </w:rPr>
        <w:t xml:space="preserve">  ·  Modèle : </w:t>
      </w:r>
      <w:r>
        <w:rPr>
          <w:b/>
          <w:bCs/>
        </w:rPr>
        <w:t xml:space="preserve">claude-sonnet-4-6</w:t>
      </w:r>
      <w:r>
        <w:rPr>
          <w:color w:val="475569"/>
        </w:rPr>
        <w:t xml:space="preserve">  ·  Durée : </w:t>
      </w:r>
      <w:r>
        <w:rPr>
          <w:b/>
          <w:bCs/>
        </w:rPr>
        <w:t xml:space="preserve">0 ms</w:t>
      </w:r>
      <w:r>
        <w:rPr>
          <w:color w:val="475569"/>
        </w:rPr>
        <w:t xml:space="preserve">  ·  Hash : </w:t>
      </w:r>
      <w:r>
        <w:rPr>
          <w:rFonts w:ascii="Consolas" w:cs="Consolas" w:eastAsia="Consolas" w:hAnsi="Consolas"/>
        </w:rPr>
        <w:t xml:space="preserve"/>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Cabinet Démo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Audit-cadrage AC-CABI-2026-001 — TEST_ETI Meridian Group</dc:title>
  <dc:creator>Cabinet Démo</dc:creator>
  <dc:description>Audit-cadrage interne Cabinet Démo pour TEST_ETI Meridian Group</dc:description>
  <cp:lastModifiedBy>Un-named</cp:lastModifiedBy>
  <cp:revision>1</cp:revision>
  <dcterms:created xsi:type="dcterms:W3CDTF">2026-07-23T08:21:24.914Z</dcterms:created>
  <dcterms:modified xsi:type="dcterms:W3CDTF">2026-07-23T08:21:24.914Z</dcterms:modified>
</cp:coreProperties>
</file>

<file path=docProps/custom.xml><?xml version="1.0" encoding="utf-8"?>
<Properties xmlns="http://schemas.openxmlformats.org/officeDocument/2006/custom-properties" xmlns:vt="http://schemas.openxmlformats.org/officeDocument/2006/docPropsVTypes"/>
</file>