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6366F1" w:sz="48" w:space="1"/>
        </w:pBdr>
        <w:spacing w:after="240" w:before="0"/>
      </w:pPr>
      <w:r>
        <w:rPr>
          <w:sz w:val="2"/>
          <w:szCs w:val="2"/>
        </w:rPr>
        <w:t xml:space="preserve"/>
      </w:r>
    </w:p>
    <w:p>
      <w:pPr>
        <w:spacing w:after="200" w:before="80"/>
        <w:jc w:val="center"/>
      </w:pPr>
      <w:r>
        <w:rPr>
          <w:rFonts w:ascii="Inter Tight" w:cs="Inter Tight" w:eastAsia="Inter Tight" w:hAnsi="Inter Tight"/>
          <w:b/>
          <w:bCs/>
          <w:color w:val="6366F1"/>
          <w:sz w:val="18"/>
          <w:szCs w:val="18"/>
        </w:rPr>
        <w:t xml:space="preserve">AUDIT-CADRAGE</w:t>
      </w:r>
    </w:p>
    <w:p>
      <w:pPr>
        <w:spacing w:after="400"/>
        <w:jc w:val="center"/>
      </w:pPr>
      <w:r>
        <w:rPr>
          <w:b/>
          <w:bCs/>
          <w:color w:val="6366F1"/>
          <w:sz w:val="44"/>
          <w:szCs w:val="44"/>
        </w:rPr>
        <w:t xml:space="preserve">Cabinet Démo</w:t>
      </w:r>
    </w:p>
    <w:p>
      <w:pPr>
        <w:pBdr>
          <w:bottom w:val="single" w:color="6366F1" w:sz="16" w:space="8"/>
        </w:pBdr>
        <w:spacing w:after="100" w:before="600"/>
        <w:jc w:val="center"/>
      </w:pPr>
      <w:r>
        <w:rPr>
          <w:rFonts w:ascii="Source Serif 4" w:cs="Source Serif 4" w:eastAsia="Source Serif 4" w:hAnsi="Source Serif 4"/>
          <w:b/>
          <w:bCs/>
          <w:color w:val="0F172A"/>
          <w:sz w:val="56"/>
          <w:szCs w:val="56"/>
        </w:rPr>
        <w:t xml:space="preserve">AUDIT-CADRAGE INTERNE</w:t>
      </w:r>
    </w:p>
    <w:p>
      <w:pPr>
        <w:spacing w:after="600"/>
        <w:jc w:val="center"/>
      </w:pPr>
      <w:r>
        <w:rPr>
          <w:i/>
          <w:iCs/>
          <w:color w:val="666666"/>
          <w:sz w:val="28"/>
          <w:szCs w:val="28"/>
        </w:rPr>
        <w:t xml:space="preserve">État de connaissance — préparation mission DSI temps partagé</w:t>
      </w:r>
    </w:p>
    <w:p>
      <w:pPr>
        <w:spacing w:after="80"/>
        <w:jc w:val="center"/>
      </w:pPr>
      <w:r>
        <w:rPr>
          <w:b/>
          <w:bCs/>
          <w:sz w:val="36"/>
          <w:szCs w:val="36"/>
        </w:rPr>
        <w:t xml:space="preserve">TEST_PME Garonne Industries</w:t>
      </w:r>
    </w:p>
    <w:p>
      <w:pPr>
        <w:jc w:val="center"/>
      </w:pPr>
      <w:r>
        <w:rPr>
          <w:i/>
          <w:iCs/>
          <w:color w:val="666666"/>
          <w:sz w:val="22"/>
          <w:szCs w:val="22"/>
        </w:rPr>
        <w:t xml:space="preserve">Industrie / Manufacturing · 100-149</w:t>
      </w:r>
    </w:p>
    <w:p>
      <w:pPr>
        <w:spacing w:after="80" w:before="400"/>
        <w:jc w:val="center"/>
      </w:pPr>
      <w:r>
        <w:rPr>
          <w:color w:val="666666"/>
        </w:rPr>
        <w:t xml:space="preserve">Référence : </w:t>
      </w:r>
      <w:r>
        <w:rPr>
          <w:rFonts w:ascii="Consolas" w:cs="Consolas" w:eastAsia="Consolas" w:hAnsi="Consolas"/>
          <w:b/>
          <w:bCs/>
        </w:rPr>
        <w:t xml:space="preserve">AC-CABI-2026-001</w:t>
      </w:r>
      <w:r>
        <w:rPr>
          <w:color w:val="666666"/>
        </w:rPr>
        <w:t xml:space="preserve">    ·    </w:t>
      </w:r>
      <w:r>
        <w:rPr>
          <w:color w:val="666666"/>
        </w:rPr>
        <w:t xml:space="preserve">Date : </w:t>
      </w:r>
      <w:r>
        <w:t xml:space="preserve">06 septembre 2026</w:t>
      </w:r>
    </w:p>
    <w:p>
      <w:pPr>
        <w:spacing w:after="60" w:before="800"/>
        <w:jc w:val="center"/>
      </w:pPr>
      <w:r>
        <w:rPr>
          <w:b/>
          <w:bCs/>
        </w:rPr>
        <w:t xml:space="preserve">Consultant Démo</w:t>
      </w:r>
      <w:r>
        <w:rPr>
          <w:color w:val="666666"/>
        </w:rPr>
        <w:t xml:space="preserve"> — DSI à temps partagé</w:t>
      </w:r>
    </w:p>
    <w:p>
      <w:pPr>
        <w:jc w:val="center"/>
      </w:pPr>
      <w:r>
        <w:rPr>
          <w:color w:val="666666"/>
          <w:sz w:val="18"/>
          <w:szCs w:val="18"/>
        </w:rPr>
        <w:t xml:space="preserve">demo@mondsi.app · </w:t>
      </w:r>
    </w:p>
    <w:p>
      <w:r>
        <w:br w:type="page"/>
      </w:r>
    </w:p>
    <w:p>
      <w:pPr>
        <w:pStyle w:val="Heading1"/>
        <w:spacing w:after="160" w:before="320"/>
      </w:pPr>
      <w:r>
        <w:rPr>
          <w:b/>
          <w:bCs/>
          <w:color w:val="6366F1"/>
          <w:sz w:val="36"/>
          <w:szCs w:val="36"/>
        </w:rPr>
        <w:t xml:space="preserve">2. Synthèse exécutive</w:t>
      </w:r>
    </w:p>
    <w:p>
      <w:pPr>
        <w:spacing w:after="120"/>
      </w:pPr>
      <w:r>
        <w:rPr>
          <w:b/>
          <w:bCs/>
        </w:rPr>
        <w:t xml:space="preserve">Garonne Industries présente un profil de risque SI structurellement critique</w:t>
      </w:r>
      <w:r>
        <w:t xml:space="preserve">, incompatible avec ses ambitions de croissance externe et de transformation digitale, et exposé à des sanctions réglementaires imminentes. Sur six diagnostics couvrant la gouvernance, la cybersécurité, la conformité RGPD et le socle technique, aucun domaine n'atteint un niveau de maturité satisfaisant : les scores oscillent entre 2/100 (Zero Trust) et 52/100 (Modern Workplace), avec une moyenne pondérée inférieure à 35/100. Ce n'est pas une accumulation de lacunes isolées — c'est l'absence de fondations SI cohérentes qui expose l'entreprise sur tous les fronts simultanément.</w:t>
      </w:r>
    </w:p>
    <w:p>
      <w:pPr>
        <w:spacing w:after="120"/>
      </w:pPr>
      <w:r>
        <w:rPr>
          <w:b/>
          <w:bCs/>
        </w:rPr>
        <w:t xml:space="preserve">Les trois failles systémiques qui traversent l'ensemble des diagnostics sont : l'absence d'identité numérique maîtrisée, l'inexistence d'une gouvernance SI formalisée, et l'absence totale de gestion des risques documentée.</w:t>
      </w:r>
      <w:r>
        <w:t xml:space="preserve"> Aucun annuaire centralisé, aucune MFA généralisée, aucune séparation des droits administrateur, aucun processus JML automatisé — ces manques ne sont pas des options de confort, ce sont des vecteurs d'intrusion ouverts, directement exploitables dans un scénario ransomware ou lors d'une due diligence M&amp;A. La gouvernance est symptomatique : pas de comité de pilotage IT avec la direction générale, pas de feuille de route consolidée, pas de KRI remontés au CODIR — ce qui explique mécaniquement l'accumulation de ces angles morts sur plusieurs années.</w:t>
      </w:r>
    </w:p>
    <w:p>
      <w:pPr>
        <w:spacing w:after="120"/>
      </w:pPr>
      <w:r>
        <w:rPr>
          <w:b/>
          <w:bCs/>
        </w:rPr>
        <w:t xml:space="preserve">Sur le plan réglementaire, la situation est préoccupante à court terme.</w:t>
      </w:r>
      <w:r>
        <w:t xml:space="preserve"> Le registre RGPD est inexistant, les droits des personnes ne sont pas gérés, la sécurité technique des données est insuffisante — trois conditions réunies pour un contrôle CNIL défavorable. L'exposition NIS2 n'est que partiellement évaluée alors que Garonne Industries est potentiellement classée entité essentielle. La directive Machine impose par ailleurs une traçabilité des accès aux systèmes de contrôle industriel que le SI actuel ne peut pas assurer. Ces trois référentiels convergent vers les mêmes exigences techniques — MFA, journalisation, gestion des accès, PCA — ce qui rend leur traitement conjoint non seulement possible mais nécessaire.</w:t>
      </w:r>
    </w:p>
    <w:p>
      <w:pPr>
        <w:spacing w:after="120"/>
      </w:pPr>
      <w:r>
        <w:rPr>
          <w:b/>
          <w:bCs/>
        </w:rPr>
        <w:t xml:space="preserve">La croissance externe constitue un facteur d'aggravation immédiat.</w:t>
      </w:r>
      <w:r>
        <w:t xml:space="preserve"> Toute opération de M&amp;A dans cet état expose Garonne Industries à une décote significative lors de la due diligence cyber, à une impossibilité d'intégrer proprement un SI acquis sans vecteur de contamination croisée, et à une responsabilité juridique accrue si un incident survient post-acquisition sur un périmètre non maîtrisé. Les clauses sous-traitants incomplètes et l'absence de contrats prestataires couvrant la réversibilité aggravent ce risque. La transformation digitale en cours — chaque nouveau SaaS, chaque outil métier déployé — ajoute de la surface d'attaque sur un socle non sécurisé, ce qui inverse le rapport bénéfice/risque de ces projets.</w:t>
      </w:r>
    </w:p>
    <w:p>
      <w:pPr>
        <w:spacing w:after="120"/>
      </w:pPr>
      <w:r>
        <w:rPr>
          <w:b/>
          <w:bCs/>
        </w:rPr>
        <w:t xml:space="preserve">La bonne nouvelle est que les embryons de pratiques existent</w:t>
      </w:r>
      <w:r>
        <w:t xml:space="preserve"> : des remontées ponctuelles au CODIR, un registre risques partiel, un EDR partiellement déployé, une segmentation réseau engagée. Ces initiatives non finalisées constituent des points d'appui réels pour un plan de remédiation structuré. Le plan 30/60/90 proposé ci-après priorise les actions à effet de levier maximal — celles qui ferment simultanément plusieurs vecteurs de risque et débloquent les chantiers réglementaires — avant d'engager les transformations structurelles de moyen terme.</w:t>
      </w:r>
    </w:p>
    <w:p>
      <w:pPr>
        <w:pStyle w:val="Heading1"/>
        <w:pageBreakBefore/>
        <w:spacing w:after="160" w:before="320"/>
      </w:pPr>
      <w:r>
        <w:rPr>
          <w:b/>
          <w:bCs/>
          <w:color w:val="6366F1"/>
          <w:sz w:val="36"/>
          <w:szCs w:val="36"/>
        </w:rPr>
        <w:t xml:space="preserve">3. Profil client &amp; enjeux</w:t>
      </w:r>
    </w:p>
    <w:tbl>
      <w:tblPr>
        <w:tblW w:type="pct" w:w="100%"/>
        <w:tblBorders>
          <w:top w:val="single" w:color="E2E8F0" w:sz="4"/>
          <w:left w:val="single" w:color="E2E8F0" w:sz="4"/>
          <w:bottom w:val="single" w:color="E2E8F0" w:sz="4"/>
          <w:right w:val="single" w:color="E2E8F0" w:sz="4"/>
          <w:insideH w:val="single" w:color="E2E8F0" w:sz="2"/>
          <w:insideV w:val="single" w:color="E2E8F0" w:sz="2"/>
        </w:tblBorders>
      </w:tblPr>
      <w:tblGrid>
        <w:gridCol w:w="100"/>
        <w:gridCol w:w="100"/>
      </w:tblGrid>
      <w:tr>
        <w:tc>
          <w:tcPr>
            <w:tcW w:type="pct" w:w="32%"/>
            <w:shd w:fill="F8FAFC"/>
          </w:tcPr>
          <w:p>
            <w:r>
              <w:rPr>
                <w:b/>
                <w:bCs/>
                <w:color w:val="6366F1"/>
              </w:rPr>
              <w:t xml:space="preserve">Nom</w:t>
            </w:r>
          </w:p>
        </w:tc>
        <w:tc>
          <w:tcPr>
            <w:tcW w:type="pct" w:w="68%"/>
          </w:tcPr>
          <w:p>
            <w:r>
              <w:t xml:space="preserve">TEST_PME Garonne Industries</w:t>
            </w:r>
          </w:p>
        </w:tc>
      </w:tr>
      <w:tr>
        <w:tc>
          <w:tcPr>
            <w:tcW w:type="pct" w:w="32%"/>
            <w:shd w:fill="F8FAFC"/>
          </w:tcPr>
          <w:p>
            <w:r>
              <w:rPr>
                <w:b/>
                <w:bCs/>
                <w:color w:val="6366F1"/>
              </w:rPr>
              <w:t xml:space="preserve">Secteur</w:t>
            </w:r>
          </w:p>
        </w:tc>
        <w:tc>
          <w:tcPr>
            <w:tcW w:type="pct" w:w="68%"/>
          </w:tcPr>
          <w:p>
            <w:r>
              <w:t xml:space="preserve">Industrie / Manufacturing</w:t>
            </w:r>
          </w:p>
        </w:tc>
      </w:tr>
      <w:tr>
        <w:tc>
          <w:tcPr>
            <w:tcW w:type="pct" w:w="32%"/>
            <w:shd w:fill="F8FAFC"/>
          </w:tcPr>
          <w:p>
            <w:r>
              <w:rPr>
                <w:b/>
                <w:bCs/>
                <w:color w:val="6366F1"/>
              </w:rPr>
              <w:t xml:space="preserve">Effectif</w:t>
            </w:r>
          </w:p>
        </w:tc>
        <w:tc>
          <w:tcPr>
            <w:tcW w:type="pct" w:w="68%"/>
          </w:tcPr>
          <w:p>
            <w:r>
              <w:t xml:space="preserve">100-149</w:t>
            </w:r>
          </w:p>
        </w:tc>
      </w:tr>
      <w:tr>
        <w:tc>
          <w:tcPr>
            <w:tcW w:type="pct" w:w="32%"/>
            <w:shd w:fill="F8FAFC"/>
          </w:tcPr>
          <w:p>
            <w:r>
              <w:rPr>
                <w:b/>
                <w:bCs/>
                <w:color w:val="6366F1"/>
              </w:rPr>
              <w:t xml:space="preserve">Dirigeant principal</w:t>
            </w:r>
          </w:p>
        </w:tc>
        <w:tc>
          <w:tcPr>
            <w:tcW w:type="pct" w:w="68%"/>
          </w:tcPr>
          <w:p>
            <w:r>
              <w:t xml:space="preserve">Contact test (fictif)</w:t>
            </w:r>
          </w:p>
        </w:tc>
      </w:tr>
    </w:tbl>
    <w:p>
      <w:pPr>
        <w:pStyle w:val="Heading3"/>
        <w:spacing w:after="80" w:before="200"/>
      </w:pPr>
      <w:r>
        <w:rPr>
          <w:b/>
          <w:bCs/>
          <w:sz w:val="22"/>
          <w:szCs w:val="22"/>
        </w:rPr>
        <w:t xml:space="preserve">Enjeux business</w:t>
      </w:r>
    </w:p>
    <w:p>
      <w:pPr>
        <w:pStyle w:val="ListParagraph"/>
        <w:numPr>
          <w:ilvl w:val="0"/>
          <w:numId w:val="1"/>
        </w:numPr>
        <w:spacing w:after="60"/>
      </w:pPr>
      <w:r>
        <w:t xml:space="preserve">conformite-reglementaire</w:t>
      </w:r>
    </w:p>
    <w:p>
      <w:pPr>
        <w:pStyle w:val="ListParagraph"/>
        <w:numPr>
          <w:ilvl w:val="0"/>
          <w:numId w:val="1"/>
        </w:numPr>
        <w:spacing w:after="60"/>
      </w:pPr>
      <w:r>
        <w:t xml:space="preserve">cybersecurite</w:t>
      </w:r>
    </w:p>
    <w:p>
      <w:pPr>
        <w:pStyle w:val="ListParagraph"/>
        <w:numPr>
          <w:ilvl w:val="0"/>
          <w:numId w:val="1"/>
        </w:numPr>
        <w:spacing w:after="60"/>
      </w:pPr>
      <w:r>
        <w:t xml:space="preserve">transformation-digitale</w:t>
      </w:r>
    </w:p>
    <w:p>
      <w:pPr>
        <w:pStyle w:val="ListParagraph"/>
        <w:numPr>
          <w:ilvl w:val="0"/>
          <w:numId w:val="1"/>
        </w:numPr>
        <w:spacing w:after="60"/>
      </w:pPr>
      <w:r>
        <w:t xml:space="preserve">croissance-externe</w:t>
      </w:r>
    </w:p>
    <w:p>
      <w:pPr>
        <w:pStyle w:val="Heading3"/>
        <w:spacing w:after="80" w:before="200"/>
      </w:pPr>
      <w:r>
        <w:rPr>
          <w:b/>
          <w:bCs/>
          <w:sz w:val="22"/>
          <w:szCs w:val="22"/>
        </w:rPr>
        <w:t xml:space="preserve">Sujets IT identifiés</w:t>
      </w:r>
    </w:p>
    <w:p>
      <w:pPr>
        <w:pStyle w:val="ListParagraph"/>
        <w:numPr>
          <w:ilvl w:val="0"/>
          <w:numId w:val="1"/>
        </w:numPr>
        <w:spacing w:after="60"/>
      </w:pPr>
      <w:r>
        <w:t xml:space="preserve">m365</w:t>
      </w:r>
    </w:p>
    <w:p>
      <w:pPr>
        <w:pStyle w:val="ListParagraph"/>
        <w:numPr>
          <w:ilvl w:val="0"/>
          <w:numId w:val="1"/>
        </w:numPr>
        <w:spacing w:after="60"/>
      </w:pPr>
      <w:r>
        <w:t xml:space="preserve">securite</w:t>
      </w:r>
    </w:p>
    <w:p>
      <w:pPr>
        <w:pStyle w:val="ListParagraph"/>
        <w:numPr>
          <w:ilvl w:val="0"/>
          <w:numId w:val="1"/>
        </w:numPr>
        <w:spacing w:after="60"/>
      </w:pPr>
      <w:r>
        <w:t xml:space="preserve">rgpd</w:t>
      </w:r>
    </w:p>
    <w:p>
      <w:pPr>
        <w:pStyle w:val="ListParagraph"/>
        <w:numPr>
          <w:ilvl w:val="0"/>
          <w:numId w:val="1"/>
        </w:numPr>
        <w:spacing w:after="60"/>
      </w:pPr>
      <w:r>
        <w:t xml:space="preserve">erp</w:t>
      </w:r>
    </w:p>
    <w:p>
      <w:pPr>
        <w:pStyle w:val="ListParagraph"/>
        <w:numPr>
          <w:ilvl w:val="0"/>
          <w:numId w:val="1"/>
        </w:numPr>
        <w:spacing w:after="60"/>
      </w:pPr>
      <w:r>
        <w:t xml:space="preserve">sauvegarde</w:t>
      </w:r>
    </w:p>
    <w:p>
      <w:pPr>
        <w:pStyle w:val="ListParagraph"/>
        <w:numPr>
          <w:ilvl w:val="0"/>
          <w:numId w:val="1"/>
        </w:numPr>
        <w:spacing w:after="60"/>
      </w:pPr>
      <w:r>
        <w:t xml:space="preserve">reseau</w:t>
      </w:r>
    </w:p>
    <w:p>
      <w:pPr>
        <w:pStyle w:val="Heading3"/>
        <w:spacing w:after="80" w:before="200"/>
      </w:pPr>
      <w:r>
        <w:rPr>
          <w:b/>
          <w:bCs/>
          <w:sz w:val="22"/>
          <w:szCs w:val="22"/>
        </w:rPr>
        <w:t xml:space="preserve">Cadre réglementaire applicable</w:t>
      </w:r>
    </w:p>
    <w:p>
      <w:pPr>
        <w:pStyle w:val="ListParagraph"/>
        <w:numPr>
          <w:ilvl w:val="0"/>
          <w:numId w:val="1"/>
        </w:numPr>
        <w:spacing w:after="60"/>
      </w:pPr>
      <w:r>
        <w:t xml:space="preserve">nis2-essentielle</w:t>
      </w:r>
    </w:p>
    <w:p>
      <w:pPr>
        <w:pStyle w:val="ListParagraph"/>
        <w:numPr>
          <w:ilvl w:val="0"/>
          <w:numId w:val="1"/>
        </w:numPr>
        <w:spacing w:after="60"/>
      </w:pPr>
      <w:r>
        <w:t xml:space="preserve">rgpd-strict</w:t>
      </w:r>
    </w:p>
    <w:p>
      <w:pPr>
        <w:pStyle w:val="ListParagraph"/>
        <w:numPr>
          <w:ilvl w:val="0"/>
          <w:numId w:val="1"/>
        </w:numPr>
        <w:spacing w:after="60"/>
      </w:pPr>
      <w:r>
        <w:t xml:space="preserve">machine-directive</w:t>
      </w:r>
    </w:p>
    <w:p>
      <w:pPr>
        <w:pStyle w:val="Heading1"/>
        <w:pageBreakBefore/>
        <w:spacing w:after="160" w:before="320"/>
      </w:pPr>
      <w:r>
        <w:rPr>
          <w:b/>
          <w:bCs/>
          <w:color w:val="6366F1"/>
          <w:sz w:val="36"/>
          <w:szCs w:val="36"/>
        </w:rPr>
        <w:t xml:space="preserve">4. Couverture des diagnostics &amp; KPI</w:t>
      </w:r>
    </w:p>
    <w:p>
      <w:pPr>
        <w:spacing w:after="120"/>
      </w:pPr>
      <w:r>
        <w:rPr>
          <w:i/>
          <w:iCs/>
          <w:color w:val="475569"/>
        </w:rPr>
        <w:t xml:space="preserve">Vue synthétique de la couverture des diagnostics. Un diagnostic est considéré comme « couvert » à partir de 5 réponses saisies.</w:t>
      </w:r>
    </w:p>
    <w:tbl>
      <w:tblPr>
        <w:tblW w:type="pct" w:w="100%"/>
        <w:tblBorders>
          <w:top w:val="single" w:color="CCCCCC" w:sz="4"/>
          <w:left w:val="single" w:color="CCCCCC" w:sz="4"/>
          <w:bottom w:val="single" w:color="CCCCCC" w:sz="4"/>
          <w:right w:val="single" w:color="CCCCCC" w:sz="4"/>
          <w:insideH w:val="single" w:color="E5E7EB" w:sz="2"/>
          <w:insideV w:val="single" w:color="E5E7EB" w:sz="2"/>
        </w:tblBorders>
      </w:tblPr>
      <w:tblGrid>
        <w:gridCol w:w="100"/>
        <w:gridCol w:w="100"/>
        <w:gridCol w:w="100"/>
        <w:gridCol w:w="100"/>
        <w:gridCol w:w="100"/>
        <w:gridCol w:w="100"/>
        <w:gridCol w:w="100"/>
      </w:tblGrid>
      <w:tr>
        <w:trPr>
          <w:tblHeader/>
        </w:trPr>
        <w:tc>
          <w:tcPr>
            <w:shd w:fill="EEF2FF"/>
          </w:tcPr>
          <w:p>
            <w:r>
              <w:rPr>
                <w:b/>
                <w:bCs/>
                <w:color w:val="6366F1"/>
              </w:rPr>
              <w:t xml:space="preserve">Diagnostic</w:t>
            </w:r>
          </w:p>
        </w:tc>
        <w:tc>
          <w:tcPr>
            <w:shd w:fill="EEF2FF"/>
          </w:tcPr>
          <w:p>
            <w:r>
              <w:rPr>
                <w:b/>
                <w:bCs/>
                <w:color w:val="6366F1"/>
              </w:rPr>
              <w:t xml:space="preserve">Statut</w:t>
            </w:r>
          </w:p>
        </w:tc>
        <w:tc>
          <w:tcPr>
            <w:shd w:fill="EEF2FF"/>
          </w:tcPr>
          <w:p>
            <w:r>
              <w:rPr>
                <w:b/>
                <w:bCs/>
                <w:color w:val="6366F1"/>
              </w:rPr>
              <w:t xml:space="preserve">Réponses</w:t>
            </w:r>
          </w:p>
        </w:tc>
        <w:tc>
          <w:tcPr>
            <w:shd w:fill="EEF2FF"/>
          </w:tcPr>
          <w:p>
            <w:r>
              <w:rPr>
                <w:b/>
                <w:bCs/>
                <w:color w:val="6366F1"/>
              </w:rPr>
              <w:t xml:space="preserve">Score moyen</w:t>
            </w:r>
          </w:p>
        </w:tc>
        <w:tc>
          <w:tcPr>
            <w:shd w:fill="EEF2FF"/>
          </w:tcPr>
          <w:p>
            <w:r>
              <w:rPr>
                <w:b/>
                <w:bCs/>
                <w:color w:val="6366F1"/>
              </w:rPr>
              <w:t xml:space="preserve">Partiel / Non</w:t>
            </w:r>
          </w:p>
        </w:tc>
        <w:tc>
          <w:tcPr>
            <w:shd w:fill="EEF2FF"/>
          </w:tcPr>
          <w:p>
            <w:r>
              <w:rPr>
                <w:b/>
                <w:bCs/>
                <w:color w:val="6366F1"/>
              </w:rPr>
              <w:t xml:space="preserve">NSP</w:t>
            </w:r>
          </w:p>
        </w:tc>
        <w:tc>
          <w:tcPr>
            <w:shd w:fill="EEF2FF"/>
          </w:tcPr>
          <w:p>
            <w:r>
              <w:rPr>
                <w:b/>
                <w:bCs/>
                <w:color w:val="6366F1"/>
              </w:rPr>
              <w:t xml:space="preserve">Commentaires</w:t>
            </w:r>
          </w:p>
        </w:tc>
      </w:tr>
      <w:tr>
        <w:tc>
          <w:p>
            <w:r>
              <w:rPr>
                <w:b/>
                <w:bCs/>
              </w:rPr>
              <w:t xml:space="preserve">Diag IT N1</w:t>
            </w:r>
          </w:p>
        </w:tc>
        <w:tc>
          <w:p>
            <w:r>
              <w:rPr>
                <w:b/>
                <w:bCs/>
                <w:color w:val="6366F1"/>
              </w:rPr>
              <w:t xml:space="preserve">Couvert</w:t>
            </w:r>
          </w:p>
        </w:tc>
        <w:tc>
          <w:p>
            <w:r>
              <w:t xml:space="preserve">26</w:t>
            </w:r>
          </w:p>
        </w:tc>
        <w:tc>
          <w:p>
            <w:r>
              <w:t xml:space="preserve">60/100</w:t>
            </w:r>
          </w:p>
        </w:tc>
        <w:tc>
          <w:p>
            <w:r>
              <w:t xml:space="preserve">11 / 5</w:t>
            </w:r>
          </w:p>
        </w:tc>
        <w:tc>
          <w:p>
            <w:r>
              <w:rPr>
                <w:b w:val="false"/>
                <w:bCs w:val="false"/>
              </w:rPr>
              <w:t xml:space="preserve">0</w:t>
            </w:r>
          </w:p>
        </w:tc>
        <w:tc>
          <w:p>
            <w:r>
              <w:t xml:space="preserve">0</w:t>
            </w:r>
          </w:p>
        </w:tc>
      </w:tr>
      <w:tr>
        <w:tc>
          <w:p>
            <w:r>
              <w:rPr>
                <w:b/>
                <w:bCs/>
              </w:rPr>
              <w:t xml:space="preserve">Diag IT N2</w:t>
            </w:r>
          </w:p>
        </w:tc>
        <w:tc>
          <w:p>
            <w:r>
              <w:rPr>
                <w:b/>
                <w:bCs/>
                <w:color w:val="6366F1"/>
              </w:rPr>
              <w:t xml:space="preserve">Couvert</w:t>
            </w:r>
          </w:p>
        </w:tc>
        <w:tc>
          <w:p>
            <w:r>
              <w:t xml:space="preserve">60</w:t>
            </w:r>
          </w:p>
        </w:tc>
        <w:tc>
          <w:p>
            <w:r>
              <w:t xml:space="preserve">67/100</w:t>
            </w:r>
          </w:p>
        </w:tc>
        <w:tc>
          <w:p>
            <w:r>
              <w:t xml:space="preserve">20 / 10</w:t>
            </w:r>
          </w:p>
        </w:tc>
        <w:tc>
          <w:p>
            <w:r>
              <w:rPr>
                <w:b w:val="false"/>
                <w:bCs w:val="false"/>
              </w:rPr>
              <w:t xml:space="preserve">0</w:t>
            </w:r>
          </w:p>
        </w:tc>
        <w:tc>
          <w:p>
            <w:r>
              <w:t xml:space="preserve">0</w:t>
            </w:r>
          </w:p>
        </w:tc>
      </w:tr>
      <w:tr>
        <w:tc>
          <w:p>
            <w:r>
              <w:rPr>
                <w:b/>
                <w:bCs/>
              </w:rPr>
              <w:t xml:space="preserve">Modern Workplace</w:t>
            </w:r>
          </w:p>
        </w:tc>
        <w:tc>
          <w:p>
            <w:r>
              <w:rPr>
                <w:b/>
                <w:bCs/>
                <w:color w:val="6366F1"/>
              </w:rPr>
              <w:t xml:space="preserve">Couvert</w:t>
            </w:r>
          </w:p>
        </w:tc>
        <w:tc>
          <w:p>
            <w:r>
              <w:t xml:space="preserve">25</w:t>
            </w:r>
          </w:p>
        </w:tc>
        <w:tc>
          <w:p>
            <w:r>
              <w:t xml:space="preserve">64/100</w:t>
            </w:r>
          </w:p>
        </w:tc>
        <w:tc>
          <w:p>
            <w:r>
              <w:t xml:space="preserve">6 / 6</w:t>
            </w:r>
          </w:p>
        </w:tc>
        <w:tc>
          <w:p>
            <w:r>
              <w:rPr>
                <w:b w:val="false"/>
                <w:bCs w:val="false"/>
              </w:rPr>
              <w:t xml:space="preserve">0</w:t>
            </w:r>
          </w:p>
        </w:tc>
        <w:tc>
          <w:p>
            <w:r>
              <w:t xml:space="preserve">0</w:t>
            </w:r>
          </w:p>
        </w:tc>
      </w:tr>
      <w:tr>
        <w:tc>
          <w:p>
            <w:r>
              <w:rPr>
                <w:b/>
                <w:bCs/>
              </w:rPr>
              <w:t xml:space="preserve">Zero Trust</w:t>
            </w:r>
          </w:p>
        </w:tc>
        <w:tc>
          <w:p>
            <w:r>
              <w:rPr>
                <w:b/>
                <w:bCs/>
                <w:color w:val="6366F1"/>
              </w:rPr>
              <w:t xml:space="preserve">Couvert</w:t>
            </w:r>
          </w:p>
        </w:tc>
        <w:tc>
          <w:p>
            <w:r>
              <w:t xml:space="preserve">15</w:t>
            </w:r>
          </w:p>
        </w:tc>
        <w:tc>
          <w:p>
            <w:r>
              <w:t xml:space="preserve">40/100</w:t>
            </w:r>
          </w:p>
        </w:tc>
        <w:tc>
          <w:p>
            <w:r>
              <w:t xml:space="preserve">6 / 6</w:t>
            </w:r>
          </w:p>
        </w:tc>
        <w:tc>
          <w:p>
            <w:r>
              <w:rPr>
                <w:b w:val="false"/>
                <w:bCs w:val="false"/>
              </w:rPr>
              <w:t xml:space="preserve">0</w:t>
            </w:r>
          </w:p>
        </w:tc>
        <w:tc>
          <w:p>
            <w:r>
              <w:t xml:space="preserve">0</w:t>
            </w:r>
          </w:p>
        </w:tc>
      </w:tr>
      <w:tr>
        <w:tc>
          <w:p>
            <w:r>
              <w:rPr>
                <w:b/>
                <w:bCs/>
              </w:rPr>
              <w:t xml:space="preserve">IA &amp; Automatisations</w:t>
            </w:r>
          </w:p>
        </w:tc>
        <w:tc>
          <w:p>
            <w:r>
              <w:rPr>
                <w:b w:val="false"/>
                <w:bCs w:val="false"/>
                <w:color w:val="94A3B8"/>
              </w:rPr>
              <w:t xml:space="preserve">Non démarré</w:t>
            </w:r>
          </w:p>
        </w:tc>
        <w:tc>
          <w:p>
            <w:r>
              <w:t xml:space="preserve">0</w:t>
            </w:r>
          </w:p>
        </w:tc>
        <w:tc>
          <w:p>
            <w:r>
              <w:t xml:space="preserve">—</w:t>
            </w:r>
          </w:p>
        </w:tc>
        <w:tc>
          <w:p>
            <w:r>
              <w:t xml:space="preserve">0 / 0</w:t>
            </w:r>
          </w:p>
        </w:tc>
        <w:tc>
          <w:p>
            <w:r>
              <w:rPr>
                <w:b w:val="false"/>
                <w:bCs w:val="false"/>
              </w:rPr>
              <w:t xml:space="preserve">0</w:t>
            </w:r>
          </w:p>
        </w:tc>
        <w:tc>
          <w:p>
            <w:r>
              <w:t xml:space="preserve">0</w:t>
            </w:r>
          </w:p>
        </w:tc>
      </w:tr>
      <w:tr>
        <w:tc>
          <w:p>
            <w:r>
              <w:rPr>
                <w:b/>
                <w:bCs/>
              </w:rPr>
              <w:t xml:space="preserve">Entretien dirigeant</w:t>
            </w:r>
          </w:p>
        </w:tc>
        <w:tc>
          <w:p>
            <w:r>
              <w:rPr>
                <w:b w:val="false"/>
                <w:bCs w:val="false"/>
                <w:color w:val="94A3B8"/>
              </w:rPr>
              <w:t xml:space="preserve">Non démarré</w:t>
            </w:r>
          </w:p>
        </w:tc>
        <w:tc>
          <w:p>
            <w:r>
              <w:t xml:space="preserve">0</w:t>
            </w:r>
          </w:p>
        </w:tc>
        <w:tc>
          <w:p>
            <w:r>
              <w:t xml:space="preserve">—</w:t>
            </w:r>
          </w:p>
        </w:tc>
        <w:tc>
          <w:p>
            <w:r>
              <w:t xml:space="preserve">0 / 0</w:t>
            </w:r>
          </w:p>
        </w:tc>
        <w:tc>
          <w:p>
            <w:r>
              <w:rPr>
                <w:b w:val="false"/>
                <w:bCs w:val="false"/>
              </w:rPr>
              <w:t xml:space="preserve">0</w:t>
            </w:r>
          </w:p>
        </w:tc>
        <w:tc>
          <w:p>
            <w:r>
              <w:t xml:space="preserve">0</w:t>
            </w:r>
          </w:p>
        </w:tc>
      </w:tr>
      <w:tr>
        <w:tc>
          <w:p>
            <w:r>
              <w:rPr>
                <w:b/>
                <w:bCs/>
              </w:rPr>
              <w:t xml:space="preserve">France Num</w:t>
            </w:r>
          </w:p>
        </w:tc>
        <w:tc>
          <w:p>
            <w:r>
              <w:rPr>
                <w:b w:val="false"/>
                <w:bCs w:val="false"/>
                <w:color w:val="94A3B8"/>
              </w:rPr>
              <w:t xml:space="preserve">Non démarré</w:t>
            </w:r>
          </w:p>
        </w:tc>
        <w:tc>
          <w:p>
            <w:r>
              <w:t xml:space="preserve">0</w:t>
            </w:r>
          </w:p>
        </w:tc>
        <w:tc>
          <w:p>
            <w:r>
              <w:t xml:space="preserve">—</w:t>
            </w:r>
          </w:p>
        </w:tc>
        <w:tc>
          <w:p>
            <w:r>
              <w:t xml:space="preserve">0 / 0</w:t>
            </w:r>
          </w:p>
        </w:tc>
        <w:tc>
          <w:p>
            <w:r>
              <w:rPr>
                <w:b w:val="false"/>
                <w:bCs w:val="false"/>
              </w:rPr>
              <w:t xml:space="preserve">0</w:t>
            </w:r>
          </w:p>
        </w:tc>
        <w:tc>
          <w:p>
            <w:r>
              <w:t xml:space="preserve">0</w:t>
            </w:r>
          </w:p>
        </w:tc>
      </w:tr>
      <w:tr>
        <w:tc>
          <w:p>
            <w:r>
              <w:rPr>
                <w:b/>
                <w:bCs/>
              </w:rPr>
              <w:t xml:space="preserve">PCA/PRA</w:t>
            </w:r>
          </w:p>
        </w:tc>
        <w:tc>
          <w:p>
            <w:r>
              <w:rPr>
                <w:b w:val="false"/>
                <w:bCs w:val="false"/>
                <w:color w:val="94A3B8"/>
              </w:rPr>
              <w:t xml:space="preserve">Non démarré</w:t>
            </w:r>
          </w:p>
        </w:tc>
        <w:tc>
          <w:p>
            <w:r>
              <w:t xml:space="preserve">0</w:t>
            </w:r>
          </w:p>
        </w:tc>
        <w:tc>
          <w:p>
            <w:r>
              <w:t xml:space="preserve">—</w:t>
            </w:r>
          </w:p>
        </w:tc>
        <w:tc>
          <w:p>
            <w:r>
              <w:t xml:space="preserve">0 / 0</w:t>
            </w:r>
          </w:p>
        </w:tc>
        <w:tc>
          <w:p>
            <w:r>
              <w:rPr>
                <w:b w:val="false"/>
                <w:bCs w:val="false"/>
              </w:rPr>
              <w:t xml:space="preserve">0</w:t>
            </w:r>
          </w:p>
        </w:tc>
        <w:tc>
          <w:p>
            <w:r>
              <w:t xml:space="preserve">0</w:t>
            </w:r>
          </w:p>
        </w:tc>
      </w:tr>
      <w:tr>
        <w:tc>
          <w:p>
            <w:r>
              <w:rPr>
                <w:b/>
                <w:bCs/>
              </w:rPr>
              <w:t xml:space="preserve">Adoption ADKAR</w:t>
            </w:r>
          </w:p>
        </w:tc>
        <w:tc>
          <w:p>
            <w:r>
              <w:rPr>
                <w:b w:val="false"/>
                <w:bCs w:val="false"/>
                <w:color w:val="94A3B8"/>
              </w:rPr>
              <w:t xml:space="preserve">Non démarré</w:t>
            </w:r>
          </w:p>
        </w:tc>
        <w:tc>
          <w:p>
            <w:r>
              <w:t xml:space="preserve">0</w:t>
            </w:r>
          </w:p>
        </w:tc>
        <w:tc>
          <w:p>
            <w:r>
              <w:t xml:space="preserve">—</w:t>
            </w:r>
          </w:p>
        </w:tc>
        <w:tc>
          <w:p>
            <w:r>
              <w:t xml:space="preserve">0 / 0</w:t>
            </w:r>
          </w:p>
        </w:tc>
        <w:tc>
          <w:p>
            <w:r>
              <w:rPr>
                <w:b w:val="false"/>
                <w:bCs w:val="false"/>
              </w:rPr>
              <w:t xml:space="preserve">0</w:t>
            </w:r>
          </w:p>
        </w:tc>
        <w:tc>
          <w:p>
            <w:r>
              <w:t xml:space="preserve">0</w:t>
            </w:r>
          </w:p>
        </w:tc>
      </w:tr>
      <w:tr>
        <w:tc>
          <w:p>
            <w:r>
              <w:rPr>
                <w:b/>
                <w:bCs/>
              </w:rPr>
              <w:t xml:space="preserve">Zachman SI</w:t>
            </w:r>
          </w:p>
        </w:tc>
        <w:tc>
          <w:p>
            <w:r>
              <w:rPr>
                <w:b w:val="false"/>
                <w:bCs w:val="false"/>
                <w:color w:val="94A3B8"/>
              </w:rPr>
              <w:t xml:space="preserve">Non démarré</w:t>
            </w:r>
          </w:p>
        </w:tc>
        <w:tc>
          <w:p>
            <w:r>
              <w:t xml:space="preserve">0</w:t>
            </w:r>
          </w:p>
        </w:tc>
        <w:tc>
          <w:p>
            <w:r>
              <w:t xml:space="preserve">—</w:t>
            </w:r>
          </w:p>
        </w:tc>
        <w:tc>
          <w:p>
            <w:r>
              <w:t xml:space="preserve">0 / 0</w:t>
            </w:r>
          </w:p>
        </w:tc>
        <w:tc>
          <w:p>
            <w:r>
              <w:rPr>
                <w:b w:val="false"/>
                <w:bCs w:val="false"/>
              </w:rPr>
              <w:t xml:space="preserve">0</w:t>
            </w:r>
          </w:p>
        </w:tc>
        <w:tc>
          <w:p>
            <w:r>
              <w:t xml:space="preserve">0</w:t>
            </w:r>
          </w:p>
        </w:tc>
      </w:tr>
      <w:tr>
        <w:tc>
          <w:p>
            <w:r>
              <w:rPr>
                <w:b/>
                <w:bCs/>
              </w:rPr>
              <w:t xml:space="preserve">RGPD</w:t>
            </w:r>
          </w:p>
        </w:tc>
        <w:tc>
          <w:p>
            <w:r>
              <w:rPr>
                <w:b/>
                <w:bCs/>
                <w:color w:val="6366F1"/>
              </w:rPr>
              <w:t xml:space="preserve">Couvert</w:t>
            </w:r>
          </w:p>
        </w:tc>
        <w:tc>
          <w:p>
            <w:r>
              <w:t xml:space="preserve">16</w:t>
            </w:r>
          </w:p>
        </w:tc>
        <w:tc>
          <w:p>
            <w:r>
              <w:t xml:space="preserve">63/100</w:t>
            </w:r>
          </w:p>
        </w:tc>
        <w:tc>
          <w:p>
            <w:r>
              <w:t xml:space="preserve">4 / 4</w:t>
            </w:r>
          </w:p>
        </w:tc>
        <w:tc>
          <w:p>
            <w:r>
              <w:rPr>
                <w:b w:val="false"/>
                <w:bCs w:val="false"/>
              </w:rPr>
              <w:t xml:space="preserve">0</w:t>
            </w:r>
          </w:p>
        </w:tc>
        <w:tc>
          <w:p>
            <w:r>
              <w:t xml:space="preserve">0</w:t>
            </w:r>
          </w:p>
        </w:tc>
      </w:tr>
      <w:tr>
        <w:tc>
          <w:p>
            <w:r>
              <w:rPr>
                <w:b/>
                <w:bCs/>
              </w:rPr>
              <w:t xml:space="preserve">Gestion risques</w:t>
            </w:r>
          </w:p>
        </w:tc>
        <w:tc>
          <w:p>
            <w:r>
              <w:rPr>
                <w:b/>
                <w:bCs/>
                <w:color w:val="6366F1"/>
              </w:rPr>
              <w:t xml:space="preserve">Couvert</w:t>
            </w:r>
          </w:p>
        </w:tc>
        <w:tc>
          <w:p>
            <w:r>
              <w:t xml:space="preserve">12</w:t>
            </w:r>
          </w:p>
        </w:tc>
        <w:tc>
          <w:p>
            <w:r>
              <w:t xml:space="preserve">33/100</w:t>
            </w:r>
          </w:p>
        </w:tc>
        <w:tc>
          <w:p>
            <w:r>
              <w:t xml:space="preserve">8 / 4</w:t>
            </w:r>
          </w:p>
        </w:tc>
        <w:tc>
          <w:p>
            <w:r>
              <w:rPr>
                <w:b w:val="false"/>
                <w:bCs w:val="false"/>
              </w:rPr>
              <w:t xml:space="preserve">0</w:t>
            </w:r>
          </w:p>
        </w:tc>
        <w:tc>
          <w:p>
            <w:r>
              <w:t xml:space="preserve">0</w:t>
            </w:r>
          </w:p>
        </w:tc>
      </w:tr>
      <w:tr>
        <w:tc>
          <w:p>
            <w:r>
              <w:rPr>
                <w:b/>
                <w:bCs/>
              </w:rPr>
              <w:t xml:space="preserve">Gouvernance IT</w:t>
            </w:r>
          </w:p>
        </w:tc>
        <w:tc>
          <w:p>
            <w:r>
              <w:rPr>
                <w:b w:val="false"/>
                <w:bCs w:val="false"/>
                <w:color w:val="94A3B8"/>
              </w:rPr>
              <w:t xml:space="preserve">Non démarré</w:t>
            </w:r>
          </w:p>
        </w:tc>
        <w:tc>
          <w:p>
            <w:r>
              <w:t xml:space="preserve">0</w:t>
            </w:r>
          </w:p>
        </w:tc>
        <w:tc>
          <w:p>
            <w:r>
              <w:t xml:space="preserve">—</w:t>
            </w:r>
          </w:p>
        </w:tc>
        <w:tc>
          <w:p>
            <w:r>
              <w:t xml:space="preserve">0 / 0</w:t>
            </w:r>
          </w:p>
        </w:tc>
        <w:tc>
          <w:p>
            <w:r>
              <w:rPr>
                <w:b w:val="false"/>
                <w:bCs w:val="false"/>
              </w:rPr>
              <w:t xml:space="preserve">0</w:t>
            </w:r>
          </w:p>
        </w:tc>
        <w:tc>
          <w:p>
            <w:r>
              <w:t xml:space="preserve">0</w:t>
            </w:r>
          </w:p>
        </w:tc>
      </w:tr>
      <w:tr>
        <w:tc>
          <w:p>
            <w:r>
              <w:rPr>
                <w:b/>
                <w:bCs/>
              </w:rPr>
              <w:t xml:space="preserve">Parc IT</w:t>
            </w:r>
          </w:p>
        </w:tc>
        <w:tc>
          <w:p>
            <w:r>
              <w:rPr>
                <w:b w:val="false"/>
                <w:bCs w:val="false"/>
                <w:color w:val="94A3B8"/>
              </w:rPr>
              <w:t xml:space="preserve">Non démarré</w:t>
            </w:r>
          </w:p>
        </w:tc>
        <w:tc>
          <w:p>
            <w:r>
              <w:t xml:space="preserve">0</w:t>
            </w:r>
          </w:p>
        </w:tc>
        <w:tc>
          <w:p>
            <w:r>
              <w:t xml:space="preserve">—</w:t>
            </w:r>
          </w:p>
        </w:tc>
        <w:tc>
          <w:p>
            <w:r>
              <w:t xml:space="preserve">0 / 0</w:t>
            </w:r>
          </w:p>
        </w:tc>
        <w:tc>
          <w:p>
            <w:r>
              <w:rPr>
                <w:b w:val="false"/>
                <w:bCs w:val="false"/>
              </w:rPr>
              <w:t xml:space="preserve">0</w:t>
            </w:r>
          </w:p>
        </w:tc>
        <w:tc>
          <w:p>
            <w:r>
              <w:t xml:space="preserve">0</w:t>
            </w:r>
          </w:p>
        </w:tc>
      </w:tr>
      <w:tr>
        <w:tc>
          <w:p>
            <w:r>
              <w:rPr>
                <w:b/>
                <w:bCs/>
              </w:rPr>
              <w:t xml:space="preserve">Sensibilisation</w:t>
            </w:r>
          </w:p>
        </w:tc>
        <w:tc>
          <w:p>
            <w:r>
              <w:rPr>
                <w:b w:val="false"/>
                <w:bCs w:val="false"/>
                <w:color w:val="94A3B8"/>
              </w:rPr>
              <w:t xml:space="preserve">Non démarré</w:t>
            </w:r>
          </w:p>
        </w:tc>
        <w:tc>
          <w:p>
            <w:r>
              <w:t xml:space="preserve">0</w:t>
            </w:r>
          </w:p>
        </w:tc>
        <w:tc>
          <w:p>
            <w:r>
              <w:t xml:space="preserve">—</w:t>
            </w:r>
          </w:p>
        </w:tc>
        <w:tc>
          <w:p>
            <w:r>
              <w:t xml:space="preserve">0 / 0</w:t>
            </w:r>
          </w:p>
        </w:tc>
        <w:tc>
          <w:p>
            <w:r>
              <w:rPr>
                <w:b w:val="false"/>
                <w:bCs w:val="false"/>
              </w:rPr>
              <w:t xml:space="preserve">0</w:t>
            </w:r>
          </w:p>
        </w:tc>
        <w:tc>
          <w:p>
            <w:r>
              <w:t xml:space="preserve">0</w:t>
            </w:r>
          </w:p>
        </w:tc>
      </w:tr>
      <w:tr>
        <w:tc>
          <w:p>
            <w:r>
              <w:rPr>
                <w:b/>
                <w:bCs/>
              </w:rPr>
              <w:t xml:space="preserve">Google Workspace</w:t>
            </w:r>
          </w:p>
        </w:tc>
        <w:tc>
          <w:p>
            <w:r>
              <w:rPr>
                <w:b w:val="false"/>
                <w:bCs w:val="false"/>
                <w:color w:val="94A3B8"/>
              </w:rPr>
              <w:t xml:space="preserve">Non démarré</w:t>
            </w:r>
          </w:p>
        </w:tc>
        <w:tc>
          <w:p>
            <w:r>
              <w:t xml:space="preserve">0</w:t>
            </w:r>
          </w:p>
        </w:tc>
        <w:tc>
          <w:p>
            <w:r>
              <w:t xml:space="preserve">—</w:t>
            </w:r>
          </w:p>
        </w:tc>
        <w:tc>
          <w:p>
            <w:r>
              <w:t xml:space="preserve">0 / 0</w:t>
            </w:r>
          </w:p>
        </w:tc>
        <w:tc>
          <w:p>
            <w:r>
              <w:rPr>
                <w:b w:val="false"/>
                <w:bCs w:val="false"/>
              </w:rPr>
              <w:t xml:space="preserve">0</w:t>
            </w:r>
          </w:p>
        </w:tc>
        <w:tc>
          <w:p>
            <w:r>
              <w:t xml:space="preserve">0</w:t>
            </w:r>
          </w:p>
        </w:tc>
      </w:tr>
      <w:tr>
        <w:tc>
          <w:p>
            <w:r>
              <w:rPr>
                <w:b/>
                <w:bCs/>
              </w:rPr>
              <w:t xml:space="preserve">FinOps</w:t>
            </w:r>
          </w:p>
        </w:tc>
        <w:tc>
          <w:p>
            <w:r>
              <w:rPr>
                <w:b w:val="false"/>
                <w:bCs w:val="false"/>
                <w:color w:val="94A3B8"/>
              </w:rPr>
              <w:t xml:space="preserve">Non démarré</w:t>
            </w:r>
          </w:p>
        </w:tc>
        <w:tc>
          <w:p>
            <w:r>
              <w:t xml:space="preserve">0</w:t>
            </w:r>
          </w:p>
        </w:tc>
        <w:tc>
          <w:p>
            <w:r>
              <w:t xml:space="preserve">—</w:t>
            </w:r>
          </w:p>
        </w:tc>
        <w:tc>
          <w:p>
            <w:r>
              <w:t xml:space="preserve">0 / 0</w:t>
            </w:r>
          </w:p>
        </w:tc>
        <w:tc>
          <w:p>
            <w:r>
              <w:rPr>
                <w:b w:val="false"/>
                <w:bCs w:val="false"/>
              </w:rPr>
              <w:t xml:space="preserve">0</w:t>
            </w:r>
          </w:p>
        </w:tc>
        <w:tc>
          <w:p>
            <w:r>
              <w:t xml:space="preserve">0</w:t>
            </w:r>
          </w:p>
        </w:tc>
      </w:tr>
    </w:tbl>
    <w:p>
      <w:pPr>
        <w:pStyle w:val="Heading3"/>
        <w:spacing w:after="80" w:before="200"/>
      </w:pPr>
      <w:r>
        <w:rPr>
          <w:b/>
          <w:bCs/>
          <w:sz w:val="22"/>
          <w:szCs w:val="22"/>
        </w:rPr>
        <w:t xml:space="preserve">Diag IT N1 — détail par catégorie</w:t>
      </w:r>
    </w:p>
    <w:p>
      <w:pPr>
        <w:pStyle w:val="ListParagraph"/>
        <w:numPr>
          <w:ilvl w:val="0"/>
          <w:numId w:val="1"/>
        </w:numPr>
        <w:spacing w:after="60"/>
      </w:pPr>
      <w:r>
        <w:t xml:space="preserve">Identité &amp; accès : 50/100 (3/3 réponses · 1P / 1N)</w:t>
      </w:r>
    </w:p>
    <w:p>
      <w:pPr>
        <w:pStyle w:val="ListParagraph"/>
        <w:numPr>
          <w:ilvl w:val="0"/>
          <w:numId w:val="1"/>
        </w:numPr>
        <w:spacing w:after="60"/>
      </w:pPr>
      <w:r>
        <w:t xml:space="preserve">Gouvernance SI : 75/100 (2/2 réponses · 1P / 0N)</w:t>
      </w:r>
    </w:p>
    <w:p>
      <w:pPr>
        <w:pStyle w:val="ListParagraph"/>
        <w:numPr>
          <w:ilvl w:val="0"/>
          <w:numId w:val="1"/>
        </w:numPr>
        <w:spacing w:after="60"/>
      </w:pPr>
      <w:r>
        <w:t xml:space="preserve">Cybersécurité : 50/100 (4/4 réponses · 2P / 1N)</w:t>
      </w:r>
    </w:p>
    <w:p>
      <w:pPr>
        <w:pStyle w:val="ListParagraph"/>
        <w:numPr>
          <w:ilvl w:val="0"/>
          <w:numId w:val="1"/>
        </w:numPr>
        <w:spacing w:after="60"/>
      </w:pPr>
      <w:r>
        <w:t xml:space="preserve">Continuité &amp; incidents : 60/100 (5/5 réponses · 2P / 1N)</w:t>
      </w:r>
    </w:p>
    <w:p>
      <w:pPr>
        <w:pStyle w:val="ListParagraph"/>
        <w:numPr>
          <w:ilvl w:val="0"/>
          <w:numId w:val="1"/>
        </w:numPr>
        <w:spacing w:after="60"/>
      </w:pPr>
      <w:r>
        <w:t xml:space="preserve">Données personnelles &amp; RGPD : 83/100 (3/3 réponses · 1P / 0N)</w:t>
      </w:r>
    </w:p>
    <w:p>
      <w:pPr>
        <w:pStyle w:val="ListParagraph"/>
        <w:numPr>
          <w:ilvl w:val="0"/>
          <w:numId w:val="1"/>
        </w:numPr>
        <w:spacing w:after="60"/>
      </w:pPr>
      <w:r>
        <w:t xml:space="preserve">Prestataires &amp; cloud : 50/100 (3/3 réponses · 1P / 1N)</w:t>
      </w:r>
    </w:p>
    <w:p>
      <w:pPr>
        <w:pStyle w:val="ListParagraph"/>
        <w:numPr>
          <w:ilvl w:val="0"/>
          <w:numId w:val="1"/>
        </w:numPr>
        <w:spacing w:after="60"/>
      </w:pPr>
      <w:r>
        <w:t xml:space="preserve">Sensibilisation : 50/100 (1/1 réponses · 1P / 0N)</w:t>
      </w:r>
    </w:p>
    <w:p>
      <w:pPr>
        <w:pStyle w:val="ListParagraph"/>
        <w:numPr>
          <w:ilvl w:val="0"/>
          <w:numId w:val="1"/>
        </w:numPr>
        <w:spacing w:after="60"/>
      </w:pPr>
      <w:r>
        <w:t xml:space="preserve">Conformité 2026+ : 60/100 (5/5 réponses · 2P / 1N)</w:t>
      </w:r>
    </w:p>
    <w:p>
      <w:pPr>
        <w:pStyle w:val="Heading3"/>
        <w:spacing w:after="80" w:before="200"/>
      </w:pPr>
      <w:r>
        <w:rPr>
          <w:b/>
          <w:bCs/>
          <w:sz w:val="22"/>
          <w:szCs w:val="22"/>
        </w:rPr>
        <w:t xml:space="preserve">Diag IT N2 — détail par catégorie</w:t>
      </w:r>
    </w:p>
    <w:p>
      <w:pPr>
        <w:pStyle w:val="ListParagraph"/>
        <w:numPr>
          <w:ilvl w:val="0"/>
          <w:numId w:val="1"/>
        </w:numPr>
        <w:spacing w:after="60"/>
      </w:pPr>
      <w:r>
        <w:t xml:space="preserve">Identité &amp; accès : 71/100 (7/7 réponses · 2P / 1N)</w:t>
      </w:r>
    </w:p>
    <w:p>
      <w:pPr>
        <w:pStyle w:val="ListParagraph"/>
        <w:numPr>
          <w:ilvl w:val="0"/>
          <w:numId w:val="1"/>
        </w:numPr>
        <w:spacing w:after="60"/>
      </w:pPr>
      <w:r>
        <w:t xml:space="preserve">Gouvernance &amp; organisation : 64/100 (7/7 réponses · 3P / 1N)</w:t>
      </w:r>
    </w:p>
    <w:p>
      <w:pPr>
        <w:pStyle w:val="ListParagraph"/>
        <w:numPr>
          <w:ilvl w:val="0"/>
          <w:numId w:val="1"/>
        </w:numPr>
        <w:spacing w:after="60"/>
      </w:pPr>
      <w:r>
        <w:t xml:space="preserve">Sécurité réseau : 67/100 (6/6 réponses · 2P / 1N)</w:t>
      </w:r>
    </w:p>
    <w:p>
      <w:pPr>
        <w:pStyle w:val="ListParagraph"/>
        <w:numPr>
          <w:ilvl w:val="0"/>
          <w:numId w:val="1"/>
        </w:numPr>
        <w:spacing w:after="60"/>
      </w:pPr>
      <w:r>
        <w:t xml:space="preserve">Postes &amp; mobilité : 67/100 (6/6 réponses · 2P / 1N)</w:t>
      </w:r>
    </w:p>
    <w:p>
      <w:pPr>
        <w:pStyle w:val="ListParagraph"/>
        <w:numPr>
          <w:ilvl w:val="0"/>
          <w:numId w:val="1"/>
        </w:numPr>
        <w:spacing w:after="60"/>
      </w:pPr>
      <w:r>
        <w:t xml:space="preserve">Supervision &amp; détection : 80/100 (5/5 réponses · 2P / 0N)</w:t>
      </w:r>
    </w:p>
    <w:p>
      <w:pPr>
        <w:pStyle w:val="ListParagraph"/>
        <w:numPr>
          <w:ilvl w:val="0"/>
          <w:numId w:val="1"/>
        </w:numPr>
        <w:spacing w:after="60"/>
      </w:pPr>
      <w:r>
        <w:t xml:space="preserve">Sauvegardes &amp; continuité : 67/100 (6/6 réponses · 2P / 1N)</w:t>
      </w:r>
    </w:p>
    <w:p>
      <w:pPr>
        <w:pStyle w:val="ListParagraph"/>
        <w:numPr>
          <w:ilvl w:val="0"/>
          <w:numId w:val="1"/>
        </w:numPr>
        <w:spacing w:after="60"/>
      </w:pPr>
      <w:r>
        <w:t xml:space="preserve">Infrastructure &amp; architecture : 57/100 (7/7 réponses · 2P / 2N)</w:t>
      </w:r>
    </w:p>
    <w:p>
      <w:pPr>
        <w:pStyle w:val="ListParagraph"/>
        <w:numPr>
          <w:ilvl w:val="0"/>
          <w:numId w:val="1"/>
        </w:numPr>
        <w:spacing w:after="60"/>
      </w:pPr>
      <w:r>
        <w:t xml:space="preserve">Messagerie &amp; collaboration : 60/100 (5/5 réponses · 2P / 1N)</w:t>
      </w:r>
    </w:p>
    <w:p>
      <w:pPr>
        <w:pStyle w:val="ListParagraph"/>
        <w:numPr>
          <w:ilvl w:val="0"/>
          <w:numId w:val="1"/>
        </w:numPr>
        <w:spacing w:after="60"/>
      </w:pPr>
      <w:r>
        <w:t xml:space="preserve">Cloud &amp; SaaS : 67/100 (6/6 réponses · 2P / 1N)</w:t>
      </w:r>
    </w:p>
    <w:p>
      <w:pPr>
        <w:pStyle w:val="ListParagraph"/>
        <w:numPr>
          <w:ilvl w:val="0"/>
          <w:numId w:val="1"/>
        </w:numPr>
        <w:spacing w:after="60"/>
      </w:pPr>
      <w:r>
        <w:t xml:space="preserve">Données &amp; RGPD : 70/100 (5/7 réponses · 1P / 1N)</w:t>
      </w:r>
    </w:p>
    <w:p>
      <w:pPr>
        <w:pStyle w:val="ListParagraph"/>
        <w:numPr>
          <w:ilvl w:val="0"/>
          <w:numId w:val="1"/>
        </w:numPr>
        <w:spacing w:after="60"/>
      </w:pPr>
      <w:r>
        <w:t xml:space="preserve">Prestataires &amp; contrats : — (0/6 réponses · 0P / 0N)</w:t>
      </w:r>
    </w:p>
    <w:p>
      <w:pPr>
        <w:pStyle w:val="ListParagraph"/>
        <w:numPr>
          <w:ilvl w:val="0"/>
          <w:numId w:val="1"/>
        </w:numPr>
        <w:spacing w:after="60"/>
      </w:pPr>
      <w:r>
        <w:t xml:space="preserve">Sensibilisation &amp; culture : — (0/6 réponses · 0P / 0N)</w:t>
      </w:r>
    </w:p>
    <w:p>
      <w:pPr>
        <w:pStyle w:val="ListParagraph"/>
        <w:numPr>
          <w:ilvl w:val="0"/>
          <w:numId w:val="1"/>
        </w:numPr>
        <w:spacing w:after="60"/>
      </w:pPr>
      <w:r>
        <w:t xml:space="preserve">IA &amp; innovation : — (0/6 réponses · 0P / 0N)</w:t>
      </w:r>
    </w:p>
    <w:p>
      <w:pPr>
        <w:pStyle w:val="Heading3"/>
        <w:spacing w:after="80" w:before="200"/>
      </w:pPr>
      <w:r>
        <w:rPr>
          <w:b/>
          <w:bCs/>
          <w:sz w:val="22"/>
          <w:szCs w:val="22"/>
        </w:rPr>
        <w:t xml:space="preserve">Modern Workplace — détail par catégorie</w:t>
      </w:r>
    </w:p>
    <w:p>
      <w:pPr>
        <w:pStyle w:val="ListParagraph"/>
        <w:numPr>
          <w:ilvl w:val="0"/>
          <w:numId w:val="1"/>
        </w:numPr>
        <w:spacing w:after="60"/>
      </w:pPr>
      <w:r>
        <w:t xml:space="preserve">Identité &amp; accès : 70/100 (5/5 réponses · 1P / 1N)</w:t>
      </w:r>
    </w:p>
    <w:p>
      <w:pPr>
        <w:pStyle w:val="ListParagraph"/>
        <w:numPr>
          <w:ilvl w:val="0"/>
          <w:numId w:val="1"/>
        </w:numPr>
        <w:spacing w:after="60"/>
      </w:pPr>
      <w:r>
        <w:t xml:space="preserve">Productivité &amp; collaboration : 60/100 (5/5 réponses · 2P / 1N)</w:t>
      </w:r>
    </w:p>
    <w:p>
      <w:pPr>
        <w:pStyle w:val="ListParagraph"/>
        <w:numPr>
          <w:ilvl w:val="0"/>
          <w:numId w:val="1"/>
        </w:numPr>
        <w:spacing w:after="60"/>
      </w:pPr>
      <w:r>
        <w:t xml:space="preserve">Endpoint &amp; sécurité poste : 58/100 (6/6 réponses · 1P / 2N)</w:t>
      </w:r>
    </w:p>
    <w:p>
      <w:pPr>
        <w:pStyle w:val="ListParagraph"/>
        <w:numPr>
          <w:ilvl w:val="0"/>
          <w:numId w:val="1"/>
        </w:numPr>
        <w:spacing w:after="60"/>
      </w:pPr>
      <w:r>
        <w:t xml:space="preserve">Communication &amp; visio : 70/100 (5/5 réponses · 1P / 1N)</w:t>
      </w:r>
    </w:p>
    <w:p>
      <w:pPr>
        <w:pStyle w:val="ListParagraph"/>
        <w:numPr>
          <w:ilvl w:val="0"/>
          <w:numId w:val="1"/>
        </w:numPr>
        <w:spacing w:after="60"/>
      </w:pPr>
      <w:r>
        <w:t xml:space="preserve">Stockage &amp; sauvegarde : 63/100 (4/6 réponses · 1P / 1N)</w:t>
      </w:r>
    </w:p>
    <w:p>
      <w:pPr>
        <w:pStyle w:val="ListParagraph"/>
        <w:numPr>
          <w:ilvl w:val="0"/>
          <w:numId w:val="1"/>
        </w:numPr>
        <w:spacing w:after="60"/>
      </w:pPr>
      <w:r>
        <w:t xml:space="preserve">Souveraineté &amp; conformité : — (0/8 réponses · 0P / 0N)</w:t>
      </w:r>
    </w:p>
    <w:p>
      <w:pPr>
        <w:pStyle w:val="Heading3"/>
        <w:spacing w:after="80" w:before="200"/>
      </w:pPr>
      <w:r>
        <w:rPr>
          <w:b/>
          <w:bCs/>
          <w:sz w:val="22"/>
          <w:szCs w:val="22"/>
        </w:rPr>
        <w:t xml:space="preserve">Zero Trust — détail par catégorie</w:t>
      </w:r>
    </w:p>
    <w:p>
      <w:pPr>
        <w:pStyle w:val="ListParagraph"/>
        <w:numPr>
          <w:ilvl w:val="0"/>
          <w:numId w:val="1"/>
        </w:numPr>
        <w:spacing w:after="60"/>
      </w:pPr>
      <w:r>
        <w:t xml:space="preserve">Identité : 39/100 (9/9 réponses · 3P / 4N)</w:t>
      </w:r>
    </w:p>
    <w:p>
      <w:pPr>
        <w:pStyle w:val="ListParagraph"/>
        <w:numPr>
          <w:ilvl w:val="0"/>
          <w:numId w:val="1"/>
        </w:numPr>
        <w:spacing w:after="60"/>
      </w:pPr>
      <w:r>
        <w:t xml:space="preserve">Appareils : 42/100 (6/8 réponses · 3P / 2N)</w:t>
      </w:r>
    </w:p>
    <w:p>
      <w:pPr>
        <w:pStyle w:val="ListParagraph"/>
        <w:numPr>
          <w:ilvl w:val="0"/>
          <w:numId w:val="1"/>
        </w:numPr>
        <w:spacing w:after="60"/>
      </w:pPr>
      <w:r>
        <w:t xml:space="preserve">Réseau : — (0/8 réponses · 0P / 0N)</w:t>
      </w:r>
    </w:p>
    <w:p>
      <w:pPr>
        <w:pStyle w:val="ListParagraph"/>
        <w:numPr>
          <w:ilvl w:val="0"/>
          <w:numId w:val="1"/>
        </w:numPr>
        <w:spacing w:after="60"/>
      </w:pPr>
      <w:r>
        <w:t xml:space="preserve">Applications : — (0/8 réponses · 0P / 0N)</w:t>
      </w:r>
    </w:p>
    <w:p>
      <w:pPr>
        <w:pStyle w:val="ListParagraph"/>
        <w:numPr>
          <w:ilvl w:val="0"/>
          <w:numId w:val="1"/>
        </w:numPr>
        <w:spacing w:after="60"/>
      </w:pPr>
      <w:r>
        <w:t xml:space="preserve">Données : — (0/8 réponses · 0P / 0N)</w:t>
      </w:r>
    </w:p>
    <w:p>
      <w:pPr>
        <w:pStyle w:val="ListParagraph"/>
        <w:numPr>
          <w:ilvl w:val="0"/>
          <w:numId w:val="1"/>
        </w:numPr>
        <w:spacing w:after="60"/>
      </w:pPr>
      <w:r>
        <w:t xml:space="preserve">Visibilité &amp; Automatisation : — (0/9 réponses · 0P / 0N)</w:t>
      </w:r>
    </w:p>
    <w:p>
      <w:pPr>
        <w:pStyle w:val="Heading3"/>
        <w:spacing w:after="80" w:before="200"/>
      </w:pPr>
      <w:r>
        <w:rPr>
          <w:b/>
          <w:bCs/>
          <w:sz w:val="22"/>
          <w:szCs w:val="22"/>
        </w:rPr>
        <w:t xml:space="preserve">IA &amp; Automatisations — détail par catégorie</w:t>
      </w:r>
    </w:p>
    <w:p>
      <w:pPr>
        <w:pStyle w:val="ListParagraph"/>
        <w:numPr>
          <w:ilvl w:val="0"/>
          <w:numId w:val="1"/>
        </w:numPr>
        <w:spacing w:after="60"/>
      </w:pPr>
      <w:r>
        <w:t xml:space="preserve">Stratégie &amp; cas d'usage : — (0/6 réponses · 0P / 0N)</w:t>
      </w:r>
    </w:p>
    <w:p>
      <w:pPr>
        <w:pStyle w:val="ListParagraph"/>
        <w:numPr>
          <w:ilvl w:val="0"/>
          <w:numId w:val="1"/>
        </w:numPr>
        <w:spacing w:after="60"/>
      </w:pPr>
      <w:r>
        <w:t xml:space="preserve">Gouvernance &amp; AI Act : — (0/7 réponses · 0P / 0N)</w:t>
      </w:r>
    </w:p>
    <w:p>
      <w:pPr>
        <w:pStyle w:val="ListParagraph"/>
        <w:numPr>
          <w:ilvl w:val="0"/>
          <w:numId w:val="1"/>
        </w:numPr>
        <w:spacing w:after="60"/>
      </w:pPr>
      <w:r>
        <w:t xml:space="preserve">Données &amp; qualité : — (0/6 réponses · 0P / 0N)</w:t>
      </w:r>
    </w:p>
    <w:p>
      <w:pPr>
        <w:pStyle w:val="ListParagraph"/>
        <w:numPr>
          <w:ilvl w:val="0"/>
          <w:numId w:val="1"/>
        </w:numPr>
        <w:spacing w:after="60"/>
      </w:pPr>
      <w:r>
        <w:t xml:space="preserve">Sécurité IA : — (0/7 réponses · 0P / 0N)</w:t>
      </w:r>
    </w:p>
    <w:p>
      <w:pPr>
        <w:pStyle w:val="ListParagraph"/>
        <w:numPr>
          <w:ilvl w:val="0"/>
          <w:numId w:val="1"/>
        </w:numPr>
        <w:spacing w:after="60"/>
      </w:pPr>
      <w:r>
        <w:t xml:space="preserve">Adoption : — (0/4 réponses · 0P / 0N)</w:t>
      </w:r>
    </w:p>
    <w:p>
      <w:pPr>
        <w:pStyle w:val="ListParagraph"/>
        <w:numPr>
          <w:ilvl w:val="0"/>
          <w:numId w:val="1"/>
        </w:numPr>
        <w:spacing w:after="60"/>
      </w:pPr>
      <w:r>
        <w:t xml:space="preserve">Automatisation processus : — (0/6 réponses · 0P / 0N)</w:t>
      </w:r>
    </w:p>
    <w:p>
      <w:pPr>
        <w:pStyle w:val="ListParagraph"/>
        <w:numPr>
          <w:ilvl w:val="0"/>
          <w:numId w:val="1"/>
        </w:numPr>
        <w:spacing w:after="60"/>
      </w:pPr>
      <w:r>
        <w:t xml:space="preserve">Performance &amp; FinOps IA : — (0/8 réponses · 0P / 0N)</w:t>
      </w:r>
    </w:p>
    <w:p>
      <w:pPr>
        <w:pStyle w:val="ListParagraph"/>
        <w:numPr>
          <w:ilvl w:val="0"/>
          <w:numId w:val="1"/>
        </w:numPr>
        <w:spacing w:after="60"/>
      </w:pPr>
      <w:r>
        <w:t xml:space="preserve">IA locale &amp; souveraineté : — (0/2 réponses · 0P / 0N)</w:t>
      </w:r>
    </w:p>
    <w:p>
      <w:pPr>
        <w:pStyle w:val="ListParagraph"/>
        <w:numPr>
          <w:ilvl w:val="0"/>
          <w:numId w:val="1"/>
        </w:numPr>
        <w:spacing w:after="60"/>
      </w:pPr>
      <w:r>
        <w:t xml:space="preserve">IA agentique &amp; assistants : — (0/4 réponses · 0P / 0N)</w:t>
      </w:r>
    </w:p>
    <w:p>
      <w:pPr>
        <w:pStyle w:val="ListParagraph"/>
        <w:numPr>
          <w:ilvl w:val="0"/>
          <w:numId w:val="1"/>
        </w:numPr>
        <w:spacing w:after="60"/>
      </w:pPr>
      <w:r>
        <w:t xml:space="preserve">Développement assisté par IA : — (0/3 réponses · 0P / 0N)</w:t>
      </w:r>
    </w:p>
    <w:p>
      <w:pPr>
        <w:pStyle w:val="ListParagraph"/>
        <w:numPr>
          <w:ilvl w:val="0"/>
          <w:numId w:val="1"/>
        </w:numPr>
        <w:spacing w:after="60"/>
      </w:pPr>
      <w:r>
        <w:t xml:space="preserve">Vibe coding &amp; citizen development : — (0/3 réponses · 0P / 0N)</w:t>
      </w:r>
    </w:p>
    <w:p>
      <w:pPr>
        <w:pStyle w:val="Heading3"/>
        <w:spacing w:after="80" w:before="200"/>
      </w:pPr>
      <w:r>
        <w:rPr>
          <w:b/>
          <w:bCs/>
          <w:sz w:val="22"/>
          <w:szCs w:val="22"/>
        </w:rPr>
        <w:t xml:space="preserve">Entretien dirigeant — détail par catégorie</w:t>
      </w:r>
    </w:p>
    <w:p>
      <w:pPr>
        <w:pStyle w:val="ListParagraph"/>
        <w:numPr>
          <w:ilvl w:val="0"/>
          <w:numId w:val="1"/>
        </w:numPr>
        <w:spacing w:after="60"/>
      </w:pPr>
      <w:r>
        <w:t xml:space="preserve">Irritants : — (0/1 réponses · 0P / 0N)</w:t>
      </w:r>
    </w:p>
    <w:p>
      <w:pPr>
        <w:pStyle w:val="ListParagraph"/>
        <w:numPr>
          <w:ilvl w:val="0"/>
          <w:numId w:val="1"/>
        </w:numPr>
        <w:spacing w:after="60"/>
      </w:pPr>
      <w:r>
        <w:t xml:space="preserve">Continuité : — (0/1 réponses · 0P / 0N)</w:t>
      </w:r>
    </w:p>
    <w:p>
      <w:pPr>
        <w:pStyle w:val="ListParagraph"/>
        <w:numPr>
          <w:ilvl w:val="0"/>
          <w:numId w:val="1"/>
        </w:numPr>
        <w:spacing w:after="60"/>
      </w:pPr>
      <w:r>
        <w:t xml:space="preserve">Vision : — (0/1 réponses · 0P / 0N)</w:t>
      </w:r>
    </w:p>
    <w:p>
      <w:pPr>
        <w:pStyle w:val="ListParagraph"/>
        <w:numPr>
          <w:ilvl w:val="0"/>
          <w:numId w:val="1"/>
        </w:numPr>
        <w:spacing w:after="60"/>
      </w:pPr>
      <w:r>
        <w:t xml:space="preserve">Pilotage : — (0/1 réponses · 0P / 0N)</w:t>
      </w:r>
    </w:p>
    <w:p>
      <w:pPr>
        <w:pStyle w:val="ListParagraph"/>
        <w:numPr>
          <w:ilvl w:val="0"/>
          <w:numId w:val="1"/>
        </w:numPr>
        <w:spacing w:after="60"/>
      </w:pPr>
      <w:r>
        <w:t xml:space="preserve">Décision : — (0/1 réponses · 0P / 0N)</w:t>
      </w:r>
    </w:p>
    <w:p>
      <w:pPr>
        <w:pStyle w:val="ListParagraph"/>
        <w:numPr>
          <w:ilvl w:val="0"/>
          <w:numId w:val="1"/>
        </w:numPr>
        <w:spacing w:after="60"/>
      </w:pPr>
      <w:r>
        <w:t xml:space="preserve">Posture : — (0/1 réponses · 0P / 0N)</w:t>
      </w:r>
    </w:p>
    <w:p>
      <w:pPr>
        <w:pStyle w:val="ListParagraph"/>
        <w:numPr>
          <w:ilvl w:val="0"/>
          <w:numId w:val="1"/>
        </w:numPr>
        <w:spacing w:after="60"/>
      </w:pPr>
      <w:r>
        <w:t xml:space="preserve">Dépendances : — (0/1 réponses · 0P / 0N)</w:t>
      </w:r>
    </w:p>
    <w:p>
      <w:pPr>
        <w:pStyle w:val="ListParagraph"/>
        <w:numPr>
          <w:ilvl w:val="0"/>
          <w:numId w:val="1"/>
        </w:numPr>
        <w:spacing w:after="60"/>
      </w:pPr>
      <w:r>
        <w:t xml:space="preserve">Incidents : — (0/1 réponses · 0P / 0N)</w:t>
      </w:r>
    </w:p>
    <w:p>
      <w:pPr>
        <w:pStyle w:val="ListParagraph"/>
        <w:numPr>
          <w:ilvl w:val="0"/>
          <w:numId w:val="1"/>
        </w:numPr>
        <w:spacing w:after="60"/>
      </w:pPr>
      <w:r>
        <w:t xml:space="preserve">ROI : — (0/1 réponses · 0P / 0N)</w:t>
      </w:r>
    </w:p>
    <w:p>
      <w:pPr>
        <w:pStyle w:val="ListParagraph"/>
        <w:numPr>
          <w:ilvl w:val="0"/>
          <w:numId w:val="1"/>
        </w:numPr>
        <w:spacing w:after="60"/>
      </w:pPr>
      <w:r>
        <w:t xml:space="preserve">Trajectoire : — (0/1 réponses · 0P / 0N)</w:t>
      </w:r>
    </w:p>
    <w:p>
      <w:pPr>
        <w:pStyle w:val="ListParagraph"/>
        <w:numPr>
          <w:ilvl w:val="0"/>
          <w:numId w:val="1"/>
        </w:numPr>
        <w:spacing w:after="60"/>
      </w:pPr>
      <w:r>
        <w:t xml:space="preserve">Mandat : — (0/1 réponses · 0P / 0N)</w:t>
      </w:r>
    </w:p>
    <w:p>
      <w:pPr>
        <w:pStyle w:val="ListParagraph"/>
        <w:numPr>
          <w:ilvl w:val="0"/>
          <w:numId w:val="1"/>
        </w:numPr>
        <w:spacing w:after="60"/>
      </w:pPr>
      <w:r>
        <w:t xml:space="preserve">Clôture : — (0/3 réponses · 0P / 0N)</w:t>
      </w:r>
    </w:p>
    <w:p>
      <w:pPr>
        <w:pStyle w:val="Heading3"/>
        <w:spacing w:after="80" w:before="200"/>
      </w:pPr>
      <w:r>
        <w:rPr>
          <w:b/>
          <w:bCs/>
          <w:sz w:val="22"/>
          <w:szCs w:val="22"/>
        </w:rPr>
        <w:t xml:space="preserve">France Num — détail par catégorie</w:t>
      </w:r>
    </w:p>
    <w:p>
      <w:pPr>
        <w:pStyle w:val="ListParagraph"/>
        <w:numPr>
          <w:ilvl w:val="0"/>
          <w:numId w:val="1"/>
        </w:numPr>
        <w:spacing w:after="60"/>
      </w:pPr>
      <w:r>
        <w:t xml:space="preserve">Présence en ligne : — (0/4 réponses · 0P / 0N)</w:t>
      </w:r>
    </w:p>
    <w:p>
      <w:pPr>
        <w:pStyle w:val="ListParagraph"/>
        <w:numPr>
          <w:ilvl w:val="0"/>
          <w:numId w:val="1"/>
        </w:numPr>
        <w:spacing w:after="60"/>
      </w:pPr>
      <w:r>
        <w:t xml:space="preserve">Relation client &amp; CRM : — (0/4 réponses · 0P / 0N)</w:t>
      </w:r>
    </w:p>
    <w:p>
      <w:pPr>
        <w:pStyle w:val="ListParagraph"/>
        <w:numPr>
          <w:ilvl w:val="0"/>
          <w:numId w:val="1"/>
        </w:numPr>
        <w:spacing w:after="60"/>
      </w:pPr>
      <w:r>
        <w:t xml:space="preserve">Vente en ligne &amp; canaux digitaux : — (0/4 réponses · 0P / 0N)</w:t>
      </w:r>
    </w:p>
    <w:p>
      <w:pPr>
        <w:pStyle w:val="ListParagraph"/>
        <w:numPr>
          <w:ilvl w:val="0"/>
          <w:numId w:val="1"/>
        </w:numPr>
        <w:spacing w:after="60"/>
      </w:pPr>
      <w:r>
        <w:t xml:space="preserve">Processus &amp; opérations numériques : — (0/4 réponses · 0P / 0N)</w:t>
      </w:r>
    </w:p>
    <w:p>
      <w:pPr>
        <w:pStyle w:val="ListParagraph"/>
        <w:numPr>
          <w:ilvl w:val="0"/>
          <w:numId w:val="1"/>
        </w:numPr>
        <w:spacing w:after="60"/>
      </w:pPr>
      <w:r>
        <w:t xml:space="preserve">Sécurité numérique de base : — (0/4 réponses · 0P / 0N)</w:t>
      </w:r>
    </w:p>
    <w:p>
      <w:pPr>
        <w:pStyle w:val="ListParagraph"/>
        <w:numPr>
          <w:ilvl w:val="0"/>
          <w:numId w:val="1"/>
        </w:numPr>
        <w:spacing w:after="60"/>
      </w:pPr>
      <w:r>
        <w:t xml:space="preserve">Données &amp; pilotage : — (0/4 réponses · 0P / 0N)</w:t>
      </w:r>
    </w:p>
    <w:p>
      <w:pPr>
        <w:pStyle w:val="Heading3"/>
        <w:spacing w:after="80" w:before="200"/>
      </w:pPr>
      <w:r>
        <w:rPr>
          <w:b/>
          <w:bCs/>
          <w:sz w:val="22"/>
          <w:szCs w:val="22"/>
        </w:rPr>
        <w:t xml:space="preserve">PCA/PRA — détail par catégorie</w:t>
      </w:r>
    </w:p>
    <w:p>
      <w:pPr>
        <w:pStyle w:val="ListParagraph"/>
        <w:numPr>
          <w:ilvl w:val="0"/>
          <w:numId w:val="1"/>
        </w:numPr>
        <w:spacing w:after="60"/>
      </w:pPr>
      <w:r>
        <w:t xml:space="preserve">Gouvernance &amp; périmètre PCA/PRA : — (0/3 réponses · 0P / 0N)</w:t>
      </w:r>
    </w:p>
    <w:p>
      <w:pPr>
        <w:pStyle w:val="ListParagraph"/>
        <w:numPr>
          <w:ilvl w:val="0"/>
          <w:numId w:val="1"/>
        </w:numPr>
        <w:spacing w:after="60"/>
      </w:pPr>
      <w:r>
        <w:t xml:space="preserve">Analyse d'impact BIA : — (0/3 réponses · 0P / 0N)</w:t>
      </w:r>
    </w:p>
    <w:p>
      <w:pPr>
        <w:pStyle w:val="ListParagraph"/>
        <w:numPr>
          <w:ilvl w:val="0"/>
          <w:numId w:val="1"/>
        </w:numPr>
        <w:spacing w:after="60"/>
      </w:pPr>
      <w:r>
        <w:t xml:space="preserve">Stratégies de continuité : — (0/3 réponses · 0P / 0N)</w:t>
      </w:r>
    </w:p>
    <w:p>
      <w:pPr>
        <w:pStyle w:val="ListParagraph"/>
        <w:numPr>
          <w:ilvl w:val="0"/>
          <w:numId w:val="1"/>
        </w:numPr>
        <w:spacing w:after="60"/>
      </w:pPr>
      <w:r>
        <w:t xml:space="preserve">Plans PCA/PRA documentation : — (0/2 réponses · 0P / 0N)</w:t>
      </w:r>
    </w:p>
    <w:p>
      <w:pPr>
        <w:pStyle w:val="ListParagraph"/>
        <w:numPr>
          <w:ilvl w:val="0"/>
          <w:numId w:val="1"/>
        </w:numPr>
        <w:spacing w:after="60"/>
      </w:pPr>
      <w:r>
        <w:t xml:space="preserve">Tests &amp; exercices : — (0/3 réponses · 0P / 0N)</w:t>
      </w:r>
    </w:p>
    <w:p>
      <w:pPr>
        <w:pStyle w:val="ListParagraph"/>
        <w:numPr>
          <w:ilvl w:val="0"/>
          <w:numId w:val="1"/>
        </w:numPr>
        <w:spacing w:after="60"/>
      </w:pPr>
      <w:r>
        <w:t xml:space="preserve">Intégration cyber : — (0/1 réponses · 0P / 0N)</w:t>
      </w:r>
    </w:p>
    <w:p>
      <w:pPr>
        <w:pStyle w:val="Heading3"/>
        <w:spacing w:after="80" w:before="200"/>
      </w:pPr>
      <w:r>
        <w:rPr>
          <w:b/>
          <w:bCs/>
          <w:sz w:val="22"/>
          <w:szCs w:val="22"/>
        </w:rPr>
        <w:t xml:space="preserve">Adoption ADKAR — détail par catégorie</w:t>
      </w:r>
    </w:p>
    <w:p>
      <w:pPr>
        <w:pStyle w:val="ListParagraph"/>
        <w:numPr>
          <w:ilvl w:val="0"/>
          <w:numId w:val="1"/>
        </w:numPr>
        <w:spacing w:after="60"/>
      </w:pPr>
      <w:r>
        <w:t xml:space="preserve">Awareness : — (0/3 réponses · 0P / 0N)</w:t>
      </w:r>
    </w:p>
    <w:p>
      <w:pPr>
        <w:pStyle w:val="ListParagraph"/>
        <w:numPr>
          <w:ilvl w:val="0"/>
          <w:numId w:val="1"/>
        </w:numPr>
        <w:spacing w:after="60"/>
      </w:pPr>
      <w:r>
        <w:t xml:space="preserve">Desire : — (0/3 réponses · 0P / 0N)</w:t>
      </w:r>
    </w:p>
    <w:p>
      <w:pPr>
        <w:pStyle w:val="ListParagraph"/>
        <w:numPr>
          <w:ilvl w:val="0"/>
          <w:numId w:val="1"/>
        </w:numPr>
        <w:spacing w:after="60"/>
      </w:pPr>
      <w:r>
        <w:t xml:space="preserve">Knowledge : — (0/3 réponses · 0P / 0N)</w:t>
      </w:r>
    </w:p>
    <w:p>
      <w:pPr>
        <w:pStyle w:val="ListParagraph"/>
        <w:numPr>
          <w:ilvl w:val="0"/>
          <w:numId w:val="1"/>
        </w:numPr>
        <w:spacing w:after="60"/>
      </w:pPr>
      <w:r>
        <w:t xml:space="preserve">Ability : — (0/3 réponses · 0P / 0N)</w:t>
      </w:r>
    </w:p>
    <w:p>
      <w:pPr>
        <w:pStyle w:val="ListParagraph"/>
        <w:numPr>
          <w:ilvl w:val="0"/>
          <w:numId w:val="1"/>
        </w:numPr>
        <w:spacing w:after="60"/>
      </w:pPr>
      <w:r>
        <w:t xml:space="preserve">Reinforcement : — (0/3 réponses · 0P / 0N)</w:t>
      </w:r>
    </w:p>
    <w:p>
      <w:pPr>
        <w:pStyle w:val="Heading3"/>
        <w:spacing w:after="80" w:before="200"/>
      </w:pPr>
      <w:r>
        <w:rPr>
          <w:b/>
          <w:bCs/>
          <w:sz w:val="22"/>
          <w:szCs w:val="22"/>
        </w:rPr>
        <w:t xml:space="preserve">Zachman SI — détail par catégorie</w:t>
      </w:r>
    </w:p>
    <w:p>
      <w:pPr>
        <w:pStyle w:val="ListParagraph"/>
        <w:numPr>
          <w:ilvl w:val="0"/>
          <w:numId w:val="1"/>
        </w:numPr>
        <w:spacing w:after="60"/>
      </w:pPr>
      <w:r>
        <w:t xml:space="preserve">Données (What) : — (0/5 réponses · 0P / 0N)</w:t>
      </w:r>
    </w:p>
    <w:p>
      <w:pPr>
        <w:pStyle w:val="ListParagraph"/>
        <w:numPr>
          <w:ilvl w:val="0"/>
          <w:numId w:val="1"/>
        </w:numPr>
        <w:spacing w:after="60"/>
      </w:pPr>
      <w:r>
        <w:t xml:space="preserve">Fonctions (How) : — (0/5 réponses · 0P / 0N)</w:t>
      </w:r>
    </w:p>
    <w:p>
      <w:pPr>
        <w:pStyle w:val="ListParagraph"/>
        <w:numPr>
          <w:ilvl w:val="0"/>
          <w:numId w:val="1"/>
        </w:numPr>
        <w:spacing w:after="60"/>
      </w:pPr>
      <w:r>
        <w:t xml:space="preserve">Réseaux (Where) : — (0/5 réponses · 0P / 0N)</w:t>
      </w:r>
    </w:p>
    <w:p>
      <w:pPr>
        <w:pStyle w:val="ListParagraph"/>
        <w:numPr>
          <w:ilvl w:val="0"/>
          <w:numId w:val="1"/>
        </w:numPr>
        <w:spacing w:after="60"/>
      </w:pPr>
      <w:r>
        <w:t xml:space="preserve">Personnes (Who) : — (0/5 réponses · 0P / 0N)</w:t>
      </w:r>
    </w:p>
    <w:p>
      <w:pPr>
        <w:pStyle w:val="ListParagraph"/>
        <w:numPr>
          <w:ilvl w:val="0"/>
          <w:numId w:val="1"/>
        </w:numPr>
        <w:spacing w:after="60"/>
      </w:pPr>
      <w:r>
        <w:t xml:space="preserve">Temps (When) : — (0/5 réponses · 0P / 0N)</w:t>
      </w:r>
    </w:p>
    <w:p>
      <w:pPr>
        <w:pStyle w:val="ListParagraph"/>
        <w:numPr>
          <w:ilvl w:val="0"/>
          <w:numId w:val="1"/>
        </w:numPr>
        <w:spacing w:after="60"/>
      </w:pPr>
      <w:r>
        <w:t xml:space="preserve">Motivations (Why) : — (0/5 réponses · 0P / 0N)</w:t>
      </w:r>
    </w:p>
    <w:p>
      <w:pPr>
        <w:pStyle w:val="Heading3"/>
        <w:spacing w:after="80" w:before="200"/>
      </w:pPr>
      <w:r>
        <w:rPr>
          <w:b/>
          <w:bCs/>
          <w:sz w:val="22"/>
          <w:szCs w:val="22"/>
        </w:rPr>
        <w:t xml:space="preserve">RGPD — détail par catégorie</w:t>
      </w:r>
    </w:p>
    <w:p>
      <w:pPr>
        <w:pStyle w:val="ListParagraph"/>
        <w:numPr>
          <w:ilvl w:val="0"/>
          <w:numId w:val="1"/>
        </w:numPr>
        <w:spacing w:after="60"/>
      </w:pPr>
      <w:r>
        <w:t xml:space="preserve">Pilotage de la protection des données : 75/100 (2/2 réponses · 1P / 0N)</w:t>
      </w:r>
    </w:p>
    <w:p>
      <w:pPr>
        <w:pStyle w:val="ListParagraph"/>
        <w:numPr>
          <w:ilvl w:val="0"/>
          <w:numId w:val="1"/>
        </w:numPr>
        <w:spacing w:after="60"/>
      </w:pPr>
      <w:r>
        <w:t xml:space="preserve">Cartographie &amp; registre des traitements : 50/100 (2/2 réponses · 0P / 1N)</w:t>
      </w:r>
    </w:p>
    <w:p>
      <w:pPr>
        <w:pStyle w:val="ListParagraph"/>
        <w:numPr>
          <w:ilvl w:val="0"/>
          <w:numId w:val="1"/>
        </w:numPr>
        <w:spacing w:after="60"/>
      </w:pPr>
      <w:r>
        <w:t xml:space="preserve">Analyse d'impact &amp; gestion des risques (DPIA) : 75/100 (2/2 réponses · 1P / 0N)</w:t>
      </w:r>
    </w:p>
    <w:p>
      <w:pPr>
        <w:pStyle w:val="ListParagraph"/>
        <w:numPr>
          <w:ilvl w:val="0"/>
          <w:numId w:val="1"/>
        </w:numPr>
        <w:spacing w:after="60"/>
      </w:pPr>
      <w:r>
        <w:t xml:space="preserve">Gestion des droits des personnes : 50/100 (2/2 réponses · 0P / 1N)</w:t>
      </w:r>
    </w:p>
    <w:p>
      <w:pPr>
        <w:pStyle w:val="ListParagraph"/>
        <w:numPr>
          <w:ilvl w:val="0"/>
          <w:numId w:val="1"/>
        </w:numPr>
        <w:spacing w:after="60"/>
      </w:pPr>
      <w:r>
        <w:t xml:space="preserve">Information &amp; transparence : 75/100 (2/2 réponses · 1P / 0N)</w:t>
      </w:r>
    </w:p>
    <w:p>
      <w:pPr>
        <w:pStyle w:val="ListParagraph"/>
        <w:numPr>
          <w:ilvl w:val="0"/>
          <w:numId w:val="1"/>
        </w:numPr>
        <w:spacing w:after="60"/>
      </w:pPr>
      <w:r>
        <w:t xml:space="preserve">Sécurité des données : 50/100 (2/2 réponses · 0P / 1N)</w:t>
      </w:r>
    </w:p>
    <w:p>
      <w:pPr>
        <w:pStyle w:val="ListParagraph"/>
        <w:numPr>
          <w:ilvl w:val="0"/>
          <w:numId w:val="1"/>
        </w:numPr>
        <w:spacing w:after="60"/>
      </w:pPr>
      <w:r>
        <w:t xml:space="preserve">Encadrement sous-traitants &amp; transferts : 75/100 (2/2 réponses · 1P / 0N)</w:t>
      </w:r>
    </w:p>
    <w:p>
      <w:pPr>
        <w:pStyle w:val="ListParagraph"/>
        <w:numPr>
          <w:ilvl w:val="0"/>
          <w:numId w:val="1"/>
        </w:numPr>
        <w:spacing w:after="60"/>
      </w:pPr>
      <w:r>
        <w:t xml:space="preserve">Sensibilisation &amp; culture RGPD : 50/100 (2/2 réponses · 0P / 1N)</w:t>
      </w:r>
    </w:p>
    <w:p>
      <w:pPr>
        <w:pStyle w:val="Heading3"/>
        <w:spacing w:after="80" w:before="200"/>
      </w:pPr>
      <w:r>
        <w:rPr>
          <w:b/>
          <w:bCs/>
          <w:sz w:val="22"/>
          <w:szCs w:val="22"/>
        </w:rPr>
        <w:t xml:space="preserve">Gestion risques — détail par catégorie</w:t>
      </w:r>
    </w:p>
    <w:p>
      <w:pPr>
        <w:pStyle w:val="ListParagraph"/>
        <w:numPr>
          <w:ilvl w:val="0"/>
          <w:numId w:val="1"/>
        </w:numPr>
        <w:spacing w:after="60"/>
      </w:pPr>
      <w:r>
        <w:t xml:space="preserve">Gouvernance &amp; politique risques : 25/100 (2/2 réponses · 1P / 1N)</w:t>
      </w:r>
    </w:p>
    <w:p>
      <w:pPr>
        <w:pStyle w:val="ListParagraph"/>
        <w:numPr>
          <w:ilvl w:val="0"/>
          <w:numId w:val="1"/>
        </w:numPr>
        <w:spacing w:after="60"/>
      </w:pPr>
      <w:r>
        <w:t xml:space="preserve">Méthodologie &amp; approche : 25/100 (2/2 réponses · 1P / 1N)</w:t>
      </w:r>
    </w:p>
    <w:p>
      <w:pPr>
        <w:pStyle w:val="ListParagraph"/>
        <w:numPr>
          <w:ilvl w:val="0"/>
          <w:numId w:val="1"/>
        </w:numPr>
        <w:spacing w:after="60"/>
      </w:pPr>
      <w:r>
        <w:t xml:space="preserve">Registre des risques : 50/100 (2/2 réponses · 2P / 0N)</w:t>
      </w:r>
    </w:p>
    <w:p>
      <w:pPr>
        <w:pStyle w:val="ListParagraph"/>
        <w:numPr>
          <w:ilvl w:val="0"/>
          <w:numId w:val="1"/>
        </w:numPr>
        <w:spacing w:after="60"/>
      </w:pPr>
      <w:r>
        <w:t xml:space="preserve">Traitement des risques : 25/100 (2/2 réponses · 1P / 1N)</w:t>
      </w:r>
    </w:p>
    <w:p>
      <w:pPr>
        <w:pStyle w:val="ListParagraph"/>
        <w:numPr>
          <w:ilvl w:val="0"/>
          <w:numId w:val="1"/>
        </w:numPr>
        <w:spacing w:after="60"/>
      </w:pPr>
      <w:r>
        <w:t xml:space="preserve">Suivi &amp; revue : 25/100 (2/2 réponses · 1P / 1N)</w:t>
      </w:r>
    </w:p>
    <w:p>
      <w:pPr>
        <w:pStyle w:val="ListParagraph"/>
        <w:numPr>
          <w:ilvl w:val="0"/>
          <w:numId w:val="1"/>
        </w:numPr>
        <w:spacing w:after="60"/>
      </w:pPr>
      <w:r>
        <w:t xml:space="preserve">Intégration décisionnelle : 50/100 (2/2 réponses · 2P / 0N)</w:t>
      </w:r>
    </w:p>
    <w:p>
      <w:pPr>
        <w:pStyle w:val="Heading3"/>
        <w:spacing w:after="80" w:before="200"/>
      </w:pPr>
      <w:r>
        <w:rPr>
          <w:b/>
          <w:bCs/>
          <w:sz w:val="22"/>
          <w:szCs w:val="22"/>
        </w:rPr>
        <w:t xml:space="preserve">Gouvernance IT — détail par catégorie</w:t>
      </w:r>
    </w:p>
    <w:p>
      <w:pPr>
        <w:pStyle w:val="ListParagraph"/>
        <w:numPr>
          <w:ilvl w:val="0"/>
          <w:numId w:val="1"/>
        </w:numPr>
        <w:spacing w:after="60"/>
      </w:pPr>
      <w:r>
        <w:t xml:space="preserve">Alignement stratégique IT/métier : — (0/2 réponses · 0P / 0N)</w:t>
      </w:r>
    </w:p>
    <w:p>
      <w:pPr>
        <w:pStyle w:val="ListParagraph"/>
        <w:numPr>
          <w:ilvl w:val="0"/>
          <w:numId w:val="1"/>
        </w:numPr>
        <w:spacing w:after="60"/>
      </w:pPr>
      <w:r>
        <w:t xml:space="preserve">Comités &amp; instances de pilotage : — (0/2 réponses · 0P / 0N)</w:t>
      </w:r>
    </w:p>
    <w:p>
      <w:pPr>
        <w:pStyle w:val="ListParagraph"/>
        <w:numPr>
          <w:ilvl w:val="0"/>
          <w:numId w:val="1"/>
        </w:numPr>
        <w:spacing w:after="60"/>
      </w:pPr>
      <w:r>
        <w:t xml:space="preserve">Budget &amp; investissement IT : — (0/2 réponses · 0P / 0N)</w:t>
      </w:r>
    </w:p>
    <w:p>
      <w:pPr>
        <w:pStyle w:val="ListParagraph"/>
        <w:numPr>
          <w:ilvl w:val="0"/>
          <w:numId w:val="1"/>
        </w:numPr>
        <w:spacing w:after="60"/>
      </w:pPr>
      <w:r>
        <w:t xml:space="preserve">Gestion fournisseurs &amp; contrats : — (0/2 réponses · 0P / 0N)</w:t>
      </w:r>
    </w:p>
    <w:p>
      <w:pPr>
        <w:pStyle w:val="ListParagraph"/>
        <w:numPr>
          <w:ilvl w:val="0"/>
          <w:numId w:val="1"/>
        </w:numPr>
        <w:spacing w:after="60"/>
      </w:pPr>
      <w:r>
        <w:t xml:space="preserve">Indicateurs &amp; reporting : — (0/2 réponses · 0P / 0N)</w:t>
      </w:r>
    </w:p>
    <w:p>
      <w:pPr>
        <w:pStyle w:val="ListParagraph"/>
        <w:numPr>
          <w:ilvl w:val="0"/>
          <w:numId w:val="1"/>
        </w:numPr>
        <w:spacing w:after="60"/>
      </w:pPr>
      <w:r>
        <w:t xml:space="preserve">Gestion du portefeuille projets IT : — (0/2 réponses · 0P / 0N)</w:t>
      </w:r>
    </w:p>
    <w:p>
      <w:pPr>
        <w:pStyle w:val="ListParagraph"/>
        <w:numPr>
          <w:ilvl w:val="0"/>
          <w:numId w:val="1"/>
        </w:numPr>
        <w:spacing w:after="60"/>
      </w:pPr>
      <w:r>
        <w:t xml:space="preserve">Ressources &amp; compétences IT : — (0/2 réponses · 0P / 0N)</w:t>
      </w:r>
    </w:p>
    <w:p>
      <w:pPr>
        <w:pStyle w:val="Heading3"/>
        <w:spacing w:after="80" w:before="200"/>
      </w:pPr>
      <w:r>
        <w:rPr>
          <w:b/>
          <w:bCs/>
          <w:sz w:val="22"/>
          <w:szCs w:val="22"/>
        </w:rPr>
        <w:t xml:space="preserve">Parc IT — détail par catégorie</w:t>
      </w:r>
    </w:p>
    <w:p>
      <w:pPr>
        <w:pStyle w:val="ListParagraph"/>
        <w:numPr>
          <w:ilvl w:val="0"/>
          <w:numId w:val="1"/>
        </w:numPr>
        <w:spacing w:after="60"/>
      </w:pPr>
      <w:r>
        <w:t xml:space="preserve">Inventaire &amp; découverte : — (0/2 réponses · 0P / 0N)</w:t>
      </w:r>
    </w:p>
    <w:p>
      <w:pPr>
        <w:pStyle w:val="ListParagraph"/>
        <w:numPr>
          <w:ilvl w:val="0"/>
          <w:numId w:val="1"/>
        </w:numPr>
        <w:spacing w:after="60"/>
      </w:pPr>
      <w:r>
        <w:t xml:space="preserve">Lifecycle postes &amp; serveurs : — (0/2 réponses · 0P / 0N)</w:t>
      </w:r>
    </w:p>
    <w:p>
      <w:pPr>
        <w:pStyle w:val="ListParagraph"/>
        <w:numPr>
          <w:ilvl w:val="0"/>
          <w:numId w:val="1"/>
        </w:numPr>
        <w:spacing w:after="60"/>
      </w:pPr>
      <w:r>
        <w:t xml:space="preserve">Gestion licences logicielles : — (0/2 réponses · 0P / 0N)</w:t>
      </w:r>
    </w:p>
    <w:p>
      <w:pPr>
        <w:pStyle w:val="ListParagraph"/>
        <w:numPr>
          <w:ilvl w:val="0"/>
          <w:numId w:val="1"/>
        </w:numPr>
        <w:spacing w:after="60"/>
      </w:pPr>
      <w:r>
        <w:t xml:space="preserve">Contrats &amp; garanties : — (0/2 réponses · 0P / 0N)</w:t>
      </w:r>
    </w:p>
    <w:p>
      <w:pPr>
        <w:pStyle w:val="ListParagraph"/>
        <w:numPr>
          <w:ilvl w:val="0"/>
          <w:numId w:val="1"/>
        </w:numPr>
        <w:spacing w:after="60"/>
      </w:pPr>
      <w:r>
        <w:t xml:space="preserve">Obsolescence &amp; dette technique : — (0/2 réponses · 0P / 0N)</w:t>
      </w:r>
    </w:p>
    <w:p>
      <w:pPr>
        <w:pStyle w:val="ListParagraph"/>
        <w:numPr>
          <w:ilvl w:val="0"/>
          <w:numId w:val="1"/>
        </w:numPr>
        <w:spacing w:after="60"/>
      </w:pPr>
      <w:r>
        <w:t xml:space="preserve">Lien avec sécurité : — (0/2 réponses · 0P / 0N)</w:t>
      </w:r>
    </w:p>
    <w:p>
      <w:pPr>
        <w:pStyle w:val="Heading3"/>
        <w:spacing w:after="80" w:before="200"/>
      </w:pPr>
      <w:r>
        <w:rPr>
          <w:b/>
          <w:bCs/>
          <w:sz w:val="22"/>
          <w:szCs w:val="22"/>
        </w:rPr>
        <w:t xml:space="preserve">Sensibilisation — détail par catégorie</w:t>
      </w:r>
    </w:p>
    <w:p>
      <w:pPr>
        <w:pStyle w:val="ListParagraph"/>
        <w:numPr>
          <w:ilvl w:val="0"/>
          <w:numId w:val="1"/>
        </w:numPr>
        <w:spacing w:after="60"/>
      </w:pPr>
      <w:r>
        <w:t xml:space="preserve">Programme de sensibilisation : — (0/2 réponses · 0P / 0N)</w:t>
      </w:r>
    </w:p>
    <w:p>
      <w:pPr>
        <w:pStyle w:val="ListParagraph"/>
        <w:numPr>
          <w:ilvl w:val="0"/>
          <w:numId w:val="1"/>
        </w:numPr>
        <w:spacing w:after="60"/>
      </w:pPr>
      <w:r>
        <w:t xml:space="preserve">Campagnes phishing simulé : — (0/2 réponses · 0P / 0N)</w:t>
      </w:r>
    </w:p>
    <w:p>
      <w:pPr>
        <w:pStyle w:val="ListParagraph"/>
        <w:numPr>
          <w:ilvl w:val="0"/>
          <w:numId w:val="1"/>
        </w:numPr>
        <w:spacing w:after="60"/>
      </w:pPr>
      <w:r>
        <w:t xml:space="preserve">Communication interne &amp; supports : — (0/2 réponses · 0P / 0N)</w:t>
      </w:r>
    </w:p>
    <w:p>
      <w:pPr>
        <w:pStyle w:val="ListParagraph"/>
        <w:numPr>
          <w:ilvl w:val="0"/>
          <w:numId w:val="1"/>
        </w:numPr>
        <w:spacing w:after="60"/>
      </w:pPr>
      <w:r>
        <w:t xml:space="preserve">Suivi &amp; indicateurs : — (0/2 réponses · 0P / 0N)</w:t>
      </w:r>
    </w:p>
    <w:p>
      <w:pPr>
        <w:pStyle w:val="ListParagraph"/>
        <w:numPr>
          <w:ilvl w:val="0"/>
          <w:numId w:val="1"/>
        </w:numPr>
        <w:spacing w:after="60"/>
      </w:pPr>
      <w:r>
        <w:t xml:space="preserve">Sponsoring management &amp; intégration gouvernance : — (0/2 réponses · 0P / 0N)</w:t>
      </w:r>
    </w:p>
    <w:p>
      <w:pPr>
        <w:pStyle w:val="Heading3"/>
        <w:spacing w:after="80" w:before="200"/>
      </w:pPr>
      <w:r>
        <w:rPr>
          <w:b/>
          <w:bCs/>
          <w:sz w:val="22"/>
          <w:szCs w:val="22"/>
        </w:rPr>
        <w:t xml:space="preserve">Google Workspace — détail par catégorie</w:t>
      </w:r>
    </w:p>
    <w:p>
      <w:pPr>
        <w:pStyle w:val="ListParagraph"/>
        <w:numPr>
          <w:ilvl w:val="0"/>
          <w:numId w:val="1"/>
        </w:numPr>
        <w:spacing w:after="60"/>
      </w:pPr>
      <w:r>
        <w:t xml:space="preserve">Identite &amp; 2SV : — (0/5 réponses · 0P / 0N)</w:t>
      </w:r>
    </w:p>
    <w:p>
      <w:pPr>
        <w:pStyle w:val="ListParagraph"/>
        <w:numPr>
          <w:ilvl w:val="0"/>
          <w:numId w:val="1"/>
        </w:numPr>
        <w:spacing w:after="60"/>
      </w:pPr>
      <w:r>
        <w:t xml:space="preserve">Partage &amp; DLP : — (0/4 réponses · 0P / 0N)</w:t>
      </w:r>
    </w:p>
    <w:p>
      <w:pPr>
        <w:pStyle w:val="ListParagraph"/>
        <w:numPr>
          <w:ilvl w:val="0"/>
          <w:numId w:val="1"/>
        </w:numPr>
        <w:spacing w:after="60"/>
      </w:pPr>
      <w:r>
        <w:t xml:space="preserve">Securite email : — (0/3 réponses · 0P / 0N)</w:t>
      </w:r>
    </w:p>
    <w:p>
      <w:pPr>
        <w:pStyle w:val="ListParagraph"/>
        <w:numPr>
          <w:ilvl w:val="0"/>
          <w:numId w:val="1"/>
        </w:numPr>
        <w:spacing w:after="60"/>
      </w:pPr>
      <w:r>
        <w:t xml:space="preserve">Mobilite : — (0/2 réponses · 0P / 0N)</w:t>
      </w:r>
    </w:p>
    <w:p>
      <w:pPr>
        <w:pStyle w:val="ListParagraph"/>
        <w:numPr>
          <w:ilvl w:val="0"/>
          <w:numId w:val="1"/>
        </w:numPr>
        <w:spacing w:after="60"/>
      </w:pPr>
      <w:r>
        <w:t xml:space="preserve">Gouvernance : — (0/3 réponses · 0P / 0N)</w:t>
      </w:r>
    </w:p>
    <w:p>
      <w:pPr>
        <w:pStyle w:val="ListParagraph"/>
        <w:numPr>
          <w:ilvl w:val="0"/>
          <w:numId w:val="1"/>
        </w:numPr>
        <w:spacing w:after="60"/>
      </w:pPr>
      <w:r>
        <w:t xml:space="preserve">Conformite : — (0/3 réponses · 0P / 0N)</w:t>
      </w:r>
    </w:p>
    <w:p>
      <w:pPr>
        <w:pStyle w:val="Heading3"/>
        <w:spacing w:after="80" w:before="200"/>
      </w:pPr>
      <w:r>
        <w:rPr>
          <w:b/>
          <w:bCs/>
          <w:sz w:val="22"/>
          <w:szCs w:val="22"/>
        </w:rPr>
        <w:t xml:space="preserve">FinOps — détail par catégorie</w:t>
      </w:r>
    </w:p>
    <w:p>
      <w:pPr>
        <w:pStyle w:val="ListParagraph"/>
        <w:numPr>
          <w:ilvl w:val="0"/>
          <w:numId w:val="1"/>
        </w:numPr>
        <w:spacing w:after="60"/>
      </w:pPr>
      <w:r>
        <w:t xml:space="preserve">Visibilité &amp; allocation : — (0/4 réponses · 0P / 0N)</w:t>
      </w:r>
    </w:p>
    <w:p>
      <w:pPr>
        <w:pStyle w:val="ListParagraph"/>
        <w:numPr>
          <w:ilvl w:val="0"/>
          <w:numId w:val="1"/>
        </w:numPr>
        <w:spacing w:after="60"/>
      </w:pPr>
      <w:r>
        <w:t xml:space="preserve">Licences &amp; SaaS : — (0/5 réponses · 0P / 0N)</w:t>
      </w:r>
    </w:p>
    <w:p>
      <w:pPr>
        <w:pStyle w:val="ListParagraph"/>
        <w:numPr>
          <w:ilvl w:val="0"/>
          <w:numId w:val="1"/>
        </w:numPr>
        <w:spacing w:after="60"/>
      </w:pPr>
      <w:r>
        <w:t xml:space="preserve">Cloud &amp; infrastructure : — (0/4 réponses · 0P / 0N)</w:t>
      </w:r>
    </w:p>
    <w:p>
      <w:pPr>
        <w:pStyle w:val="ListParagraph"/>
        <w:numPr>
          <w:ilvl w:val="0"/>
          <w:numId w:val="1"/>
        </w:numPr>
        <w:spacing w:after="60"/>
      </w:pPr>
      <w:r>
        <w:t xml:space="preserve">FinOps IA : — (0/5 réponses · 0P / 0N)</w:t>
      </w:r>
    </w:p>
    <w:p>
      <w:pPr>
        <w:pStyle w:val="ListParagraph"/>
        <w:numPr>
          <w:ilvl w:val="0"/>
          <w:numId w:val="1"/>
        </w:numPr>
        <w:spacing w:after="60"/>
      </w:pPr>
      <w:r>
        <w:t xml:space="preserve">Gouvernance &amp; processus : — (0/4 réponses · 0P / 0N)</w:t>
      </w:r>
    </w:p>
    <w:p>
      <w:pPr>
        <w:pStyle w:val="ListParagraph"/>
        <w:numPr>
          <w:ilvl w:val="0"/>
          <w:numId w:val="1"/>
        </w:numPr>
        <w:spacing w:after="60"/>
      </w:pPr>
      <w:r>
        <w:t xml:space="preserve">Sobriété &amp; durabilité : — (0/2 réponses · 0P / 0N)</w:t>
      </w:r>
    </w:p>
    <w:p>
      <w:pPr>
        <w:pStyle w:val="Heading3"/>
        <w:spacing w:after="80" w:before="200"/>
      </w:pPr>
      <w:r>
        <w:rPr>
          <w:b/>
          <w:bCs/>
          <w:sz w:val="22"/>
          <w:szCs w:val="22"/>
        </w:rPr>
        <w:t xml:space="preserve">Données manquantes critiques</w:t>
      </w:r>
    </w:p>
    <w:p>
      <w:pPr>
        <w:pStyle w:val="ListParagraph"/>
        <w:numPr>
          <w:ilvl w:val="0"/>
          <w:numId w:val="1"/>
        </w:numPr>
        <w:spacing w:after="60"/>
      </w:pPr>
      <w:r>
        <w:t xml:space="preserve">Sponsor mission non désigné</w:t>
      </w:r>
    </w:p>
    <w:p>
      <w:pPr>
        <w:pStyle w:val="Heading1"/>
        <w:pageBreakBefore/>
        <w:spacing w:after="160" w:before="320"/>
      </w:pPr>
      <w:r>
        <w:rPr>
          <w:b/>
          <w:bCs/>
          <w:color w:val="6366F1"/>
          <w:sz w:val="36"/>
          <w:szCs w:val="36"/>
        </w:rPr>
        <w:t xml:space="preserve">5. Constats par axe</w:t>
      </w:r>
    </w:p>
    <w:p>
      <w:pPr>
        <w:pStyle w:val="Heading2"/>
        <w:spacing w:after="120" w:before="240"/>
      </w:pPr>
      <w:r>
        <w:rPr>
          <w:b/>
          <w:bCs/>
          <w:color w:val="6366F1"/>
          <w:sz w:val="26"/>
          <w:szCs w:val="26"/>
        </w:rPr>
        <w:t xml:space="preserve">RGPD — Conformité réglementaire &amp; gouvernance des données personnelles (score 3.5/100)</w:t>
      </w:r>
    </w:p>
    <w:p>
      <w:pPr>
        <w:spacing w:after="120"/>
      </w:pPr>
      <w:r>
        <w:t xml:space="preserve">Garonne Industries présente une conformité RGPD structurellement lacunaire : sur 16 points évalués, 8 signaux négatifs (4 Non, 4 Partiel) révèlent l'absence de fondations opérationnelles essentielles. Le registre des traitements (RGPD03) n'existe pas ou n'est pas tenu à jour, ce qui rend toute démonstration de conformité impossible face à un contrôle CNIL — risque critique au regard de l'enjeu </w:t>
      </w:r>
      <w:r>
        <w:rPr>
          <w:b/>
          <w:bCs/>
        </w:rPr>
        <w:t xml:space="preserve">conformité-réglementaire</w:t>
      </w:r>
      <w:r>
        <w:t xml:space="preserve">. La sécurité technique des données (RGPD11) est insuffisante : pas de chiffrement systématique, ni de contrôle d'accès par profil, ni de journalisation — exposition directe aux risques </w:t>
      </w:r>
      <w:r>
        <w:rPr>
          <w:b/>
          <w:bCs/>
        </w:rPr>
        <w:t xml:space="preserve">cybersécurité</w:t>
      </w:r>
      <w:r>
        <w:t xml:space="preserve"> dans un contexte industriel où les données de production et RH sont sensibles. Les procédures de gestion des droits des personnes (RGPD07) sont absentes, ce qui constitue une infraction caractérisée exposant l'entreprise à des sanctions financières et à un risque réputationnel amplifié en cas de </w:t>
      </w:r>
      <w:r>
        <w:rPr>
          <w:b/>
          <w:bCs/>
        </w:rPr>
        <w:t xml:space="preserve">croissance externe</w:t>
      </w:r>
      <w:r>
        <w:t xml:space="preserve"> (due diligence acquéreur). Les points partiels — DPO sans indépendance garantie (RGPD01), DPIA non systématique (RGPD05), clauses sous-traitants incomplètes (RGPD13) — fragilisent également la </w:t>
      </w:r>
      <w:r>
        <w:rPr>
          <w:b/>
          <w:bCs/>
        </w:rPr>
        <w:t xml:space="preserve">transformation digitale</w:t>
      </w:r>
      <w:r>
        <w:t xml:space="preserve"> en cours, chaque nouveau projet SaaS ou outil métier ajoutant du risque non maîtrisé.</w:t>
      </w:r>
    </w:p>
    <w:p>
      <w:pPr>
        <w:pStyle w:val="ListParagraph"/>
        <w:numPr>
          <w:ilvl w:val="0"/>
          <w:numId w:val="1"/>
        </w:numPr>
        <w:spacing w:after="60"/>
      </w:pPr>
      <w:r>
        <w:t xml:space="preserve">RGPD03 Non — Registre des traitements absent ou non maintenu : base légale, durées de conservation non documentées</w:t>
      </w:r>
    </w:p>
    <w:p>
      <w:pPr>
        <w:pStyle w:val="ListParagraph"/>
        <w:numPr>
          <w:ilvl w:val="0"/>
          <w:numId w:val="1"/>
        </w:numPr>
        <w:spacing w:after="60"/>
      </w:pPr>
      <w:r>
        <w:t xml:space="preserve">RGPD11 Non — Pas de chiffrement des données sensibles, ni contrôle d'accès par profil, ni journalisation</w:t>
      </w:r>
    </w:p>
    <w:p>
      <w:pPr>
        <w:pStyle w:val="ListParagraph"/>
        <w:numPr>
          <w:ilvl w:val="0"/>
          <w:numId w:val="1"/>
        </w:numPr>
        <w:spacing w:after="60"/>
      </w:pPr>
      <w:r>
        <w:t xml:space="preserve">RGPD07 Non — Aucune procédure formalisée pour traiter les demandes d'exercice de droits dans le délai légal d'un mois</w:t>
      </w:r>
    </w:p>
    <w:p>
      <w:pPr>
        <w:pStyle w:val="ListParagraph"/>
        <w:numPr>
          <w:ilvl w:val="0"/>
          <w:numId w:val="1"/>
        </w:numPr>
        <w:spacing w:after="60"/>
      </w:pPr>
      <w:r>
        <w:t xml:space="preserve">RGPD15 Non — Zéro programme de sensibilisation RGPD déployé pour les collaborateurs</w:t>
      </w:r>
    </w:p>
    <w:p>
      <w:pPr>
        <w:pStyle w:val="ListParagraph"/>
        <w:numPr>
          <w:ilvl w:val="0"/>
          <w:numId w:val="1"/>
        </w:numPr>
        <w:spacing w:after="60"/>
      </w:pPr>
      <w:r>
        <w:t xml:space="preserve">RGPD01 Partiel — DPO désigné mais indépendance hiérarchique et fiche de mission non garanties</w:t>
      </w:r>
    </w:p>
    <w:p>
      <w:pPr>
        <w:pStyle w:val="ListParagraph"/>
        <w:numPr>
          <w:ilvl w:val="0"/>
          <w:numId w:val="1"/>
        </w:numPr>
        <w:spacing w:after="60"/>
      </w:pPr>
      <w:r>
        <w:t xml:space="preserve">RGPD13 Partiel — Clauses art. 28 RGPD incomplètes dans les contrats hébergeurs/SaaS/prestataires IT</w:t>
      </w:r>
    </w:p>
    <w:p>
      <w:pPr>
        <w:pStyle w:val="Heading2"/>
        <w:spacing w:after="120" w:before="240"/>
      </w:pPr>
      <w:r>
        <w:rPr>
          <w:b/>
          <w:bCs/>
          <w:color w:val="6366F1"/>
          <w:sz w:val="26"/>
          <w:szCs w:val="26"/>
        </w:rPr>
        <w:t xml:space="preserve">Modern Workplace — Endpoint &amp; sécurité poste (score 52/100)</w:t>
      </w:r>
    </w:p>
    <w:p>
      <w:pPr>
        <w:spacing w:after="120"/>
      </w:pPr>
      <w:r>
        <w:t xml:space="preserve">Garonne Industries présente un socle Modern Workplace </w:t>
      </w:r>
      <w:r>
        <w:rPr>
          <w:b/>
          <w:bCs/>
        </w:rPr>
        <w:t xml:space="preserve">fragmenté et exposé</w:t>
      </w:r>
      <w:r>
        <w:t xml:space="preserve">, avec seulement 13 réponses positives sur 25 : les signaux critiques se concentrent sur la </w:t>
      </w:r>
      <w:r>
        <w:rPr>
          <w:b/>
          <w:bCs/>
        </w:rPr>
        <w:t xml:space="preserve">gestion des postes et la sauvegarde</w:t>
      </w:r>
      <w:r>
        <w:t xml:space="preserve">, deux piliers directement liés aux enjeux de cybersécurité et de conformité réglementaire. L'absence de MDM/UEM (MW11 Non) signifie que les postes ne sont ni supervisés, ni durcis, ni conformes à une politique centralisée — une faille majeure en contexte de croissance externe où de nouveaux équipements s'intègrent sans filet. Le patching non maîtrisé sous 30 jours (MW15 Non) laisse la surface d'attaque ouverte, tandis que le chiffrement disque partiel (MW14 Partiel) expose les données en cas de perte ou vol d'un poste terrain. Côté collaboration, le stockage de fichiers dispersé sur les postes (MW07 Non) et la suite collaborative non unifiée (MW06 Partiel) freinent la transformation digitale et créent des silos de données incontrôlables. Enfin, l'absence de règle 3-2-1 vérifiée (MW23 Non) et le SSO non déployé sur les SaaS (MW03 Non) complètent un tableau où </w:t>
      </w:r>
      <w:r>
        <w:rPr>
          <w:b/>
          <w:bCs/>
        </w:rPr>
        <w:t xml:space="preserve">la surface de risque opérationnel et réglementaire est significativement sous-estimée</w:t>
      </w:r>
      <w:r>
        <w:t xml:space="preserve">.</w:t>
      </w:r>
    </w:p>
    <w:p>
      <w:pPr>
        <w:pStyle w:val="ListParagraph"/>
        <w:numPr>
          <w:ilvl w:val="0"/>
          <w:numId w:val="1"/>
        </w:numPr>
        <w:spacing w:after="60"/>
      </w:pPr>
      <w:r>
        <w:t xml:space="preserve">MW11 Non — aucun MDM/UEM : postes non supervisés, politiques non appliquées</w:t>
      </w:r>
    </w:p>
    <w:p>
      <w:pPr>
        <w:pStyle w:val="ListParagraph"/>
        <w:numPr>
          <w:ilvl w:val="0"/>
          <w:numId w:val="1"/>
        </w:numPr>
        <w:spacing w:after="60"/>
      </w:pPr>
      <w:r>
        <w:t xml:space="preserve">MW15 Non — patchs OS/logiciels non suivis sous 30 jours, console absente</w:t>
      </w:r>
    </w:p>
    <w:p>
      <w:pPr>
        <w:pStyle w:val="ListParagraph"/>
        <w:numPr>
          <w:ilvl w:val="0"/>
          <w:numId w:val="1"/>
        </w:numPr>
        <w:spacing w:after="60"/>
      </w:pPr>
      <w:r>
        <w:t xml:space="preserve">MW23 Non — règle 3-2-1 non respectée, risque de perte de données critique</w:t>
      </w:r>
    </w:p>
    <w:p>
      <w:pPr>
        <w:pStyle w:val="ListParagraph"/>
        <w:numPr>
          <w:ilvl w:val="0"/>
          <w:numId w:val="1"/>
        </w:numPr>
        <w:spacing w:after="60"/>
      </w:pPr>
      <w:r>
        <w:t xml:space="preserve">MW03 Non — SSO absent sur les SaaS, mots de passe par application</w:t>
      </w:r>
    </w:p>
    <w:p>
      <w:pPr>
        <w:pStyle w:val="ListParagraph"/>
        <w:numPr>
          <w:ilvl w:val="0"/>
          <w:numId w:val="1"/>
        </w:numPr>
        <w:spacing w:after="60"/>
      </w:pPr>
      <w:r>
        <w:t xml:space="preserve">MW07 Non — fichiers dispersés sur les postes, pas de stockage centralisé</w:t>
      </w:r>
    </w:p>
    <w:p>
      <w:pPr>
        <w:pStyle w:val="ListParagraph"/>
        <w:numPr>
          <w:ilvl w:val="0"/>
          <w:numId w:val="1"/>
        </w:numPr>
        <w:spacing w:after="60"/>
      </w:pPr>
      <w:r>
        <w:t xml:space="preserve">MW14 Partiel — chiffrement disque incomplet, exposition en cas de vol/perte</w:t>
      </w:r>
    </w:p>
    <w:p>
      <w:pPr>
        <w:pStyle w:val="Heading2"/>
        <w:spacing w:after="120" w:before="240"/>
      </w:pPr>
      <w:r>
        <w:rPr>
          <w:b/>
          <w:bCs/>
          <w:color w:val="6366F1"/>
          <w:sz w:val="26"/>
          <w:szCs w:val="26"/>
        </w:rPr>
        <w:t xml:space="preserve">Gestion des risques IT/Cyber — Gouvernance &amp; pilotage des risques</w:t>
      </w:r>
    </w:p>
    <w:p>
      <w:pPr>
        <w:spacing w:after="120"/>
      </w:pPr>
      <w:r>
        <w:t xml:space="preserve">Garonne Industries présente une maturité très insuffisante en gestion des risques IT/cyber : aucune des 12 questions n'obtient de réponse positive, et les quatre réponses « Non » touchent précisément les fondations du dispositif — absence de politique formalisée et validée par la direction (RISK01), absence d'analyse couvrant les scénarios stratégiques et opérationnels (RISK04), absence de décisions documentées de traitement pour chaque risque identifié (RISK07), et absence total de KRI reportés au management (RISK10). Ce vide est critique au regard des enjeux de conformité réglementaire et de cybersécurité : sans politique ni méthodologie structurée, l'entreprise ne peut démontrer aucune diligence raisonnable face à un audit NIS2, RGPD ou client industriel. Les réponses « Partiel » révèlent des embryons de pratiques (registre existant mais incomplet, plans de traitement partiellement intégrés au plan IT, remontées ponctuelles au CODIR) qui restent non consolidés, non outillés et non pilotés — ce qui fragilise également les projets de croissance externe, où la due diligence cyber est désormais systématique. La priorité absolue est de formaliser une politique risques validée en CODIR, d'adopter une méthodologie légère (ISO 31000 simplifiée) et de mettre en place un registre vivant avec KRI mensuels, avant toute accélération de la transformation digitale.</w:t>
      </w:r>
    </w:p>
    <w:p>
      <w:pPr>
        <w:pStyle w:val="ListParagraph"/>
        <w:numPr>
          <w:ilvl w:val="0"/>
          <w:numId w:val="1"/>
        </w:numPr>
        <w:spacing w:after="60"/>
      </w:pPr>
      <w:r>
        <w:t xml:space="preserve">RISK01 Non — Aucune politique risques IT/cyber formalisée ni validée par la direction</w:t>
      </w:r>
    </w:p>
    <w:p>
      <w:pPr>
        <w:pStyle w:val="ListParagraph"/>
        <w:numPr>
          <w:ilvl w:val="0"/>
          <w:numId w:val="1"/>
        </w:numPr>
        <w:spacing w:after="60"/>
      </w:pPr>
      <w:r>
        <w:t xml:space="preserve">RISK04 Non — Pas d'analyse couvrant scénarios stratégiques (sources de menace) ni opérationnels (chemins d'attaque)</w:t>
      </w:r>
    </w:p>
    <w:p>
      <w:pPr>
        <w:pStyle w:val="ListParagraph"/>
        <w:numPr>
          <w:ilvl w:val="0"/>
          <w:numId w:val="1"/>
        </w:numPr>
        <w:spacing w:after="60"/>
      </w:pPr>
      <w:r>
        <w:t xml:space="preserve">RISK07 Non — Aucune décision documentée de traitement (réduction, transfert, acceptation) par risque identifié</w:t>
      </w:r>
    </w:p>
    <w:p>
      <w:pPr>
        <w:pStyle w:val="ListParagraph"/>
        <w:numPr>
          <w:ilvl w:val="0"/>
          <w:numId w:val="1"/>
        </w:numPr>
        <w:spacing w:after="60"/>
      </w:pPr>
      <w:r>
        <w:t xml:space="preserve">RISK10 Non — Zéro KRI défini ; le profil de risque n'est pas reporté à la direction</w:t>
      </w:r>
    </w:p>
    <w:p>
      <w:pPr>
        <w:pStyle w:val="ListParagraph"/>
        <w:numPr>
          <w:ilvl w:val="0"/>
          <w:numId w:val="1"/>
        </w:numPr>
        <w:spacing w:after="60"/>
      </w:pPr>
      <w:r>
        <w:t xml:space="preserve">RISK05 Partiel — Registre existant mais cotation et risque résiduel incomplets</w:t>
      </w:r>
    </w:p>
    <w:p>
      <w:pPr>
        <w:pStyle w:val="ListParagraph"/>
        <w:numPr>
          <w:ilvl w:val="0"/>
          <w:numId w:val="1"/>
        </w:numPr>
        <w:spacing w:after="60"/>
      </w:pPr>
      <w:r>
        <w:t xml:space="preserve">RISK11 Partiel — Résultats risques présentés au CODIR de façon non systématique, sans alimentation budgétaire structurée</w:t>
      </w:r>
    </w:p>
    <w:p>
      <w:pPr>
        <w:pStyle w:val="Heading2"/>
        <w:spacing w:after="120" w:before="240"/>
      </w:pPr>
      <w:r>
        <w:rPr>
          <w:b/>
          <w:bCs/>
          <w:color w:val="6366F1"/>
          <w:sz w:val="26"/>
          <w:szCs w:val="26"/>
        </w:rPr>
        <w:t xml:space="preserve">Diag IT N1 – Diagnostic Express — Cybersécurité &amp; Identité / Accès (score 38/100)</w:t>
      </w:r>
    </w:p>
    <w:p>
      <w:pPr>
        <w:spacing w:after="120"/>
      </w:pPr>
      <w:r>
        <w:t xml:space="preserve">Garonne Industries présente un profil de risque cyber </w:t>
      </w:r>
      <w:r>
        <w:rPr>
          <w:b/>
          <w:bCs/>
        </w:rPr>
        <w:t xml:space="preserve">critique</w:t>
      </w:r>
      <w:r>
        <w:t xml:space="preserve"> pour une ETI industrielle exposée à des enjeux de conformité réglementaire et de croissance externe : la MFA n'est pas activée sur la messagerie ni les accès distants (Q03 Non), les comptes du quotidien disposent de droits administrateur sans séparation (Q23 Non), et aucun PRA/PCA opérationnel ne couvre un scénario ransomware (Q08 Non) — trois failles qui, combinées, constituent une surface d'attaque majeure et un risque d'indisponibilité totale non maîtrisé. La gestion des accès est partielle : les droits ne sont pas revus systématiquement lors des départs (Q04 Partiel), les mots de passe partagés ne sont pas encore centralisés dans un gestionnaire dédié (Q24 Partiel), et les journaux de sécurité ne sont pas exploités pour détecter les anomalies (Q06 Partiel), ce qui rend toute détection d'intrusion quasi impossible. Sur le plan réglementaire, l'absence de contrats prestataires couvrant sécurité et réversibilité (Q13 Non) fragilise directement les opérations de croissance externe, tandis que la trajectoire facturation électronique 2026 n'est pas arrêtée (Q18 Non) et l'exposition NIS2 n'est que partiellement évaluée (Q19 Partiel). La gouvernance SI reste floue (Q01 Partiel), sans pilote clairement mandaté, ce qui explique l'accumulation de ces angles morts et doit être traité en priorité absolue avant tout chantier de transformation digitale.</w:t>
      </w:r>
    </w:p>
    <w:p>
      <w:pPr>
        <w:pStyle w:val="ListParagraph"/>
        <w:numPr>
          <w:ilvl w:val="0"/>
          <w:numId w:val="1"/>
        </w:numPr>
        <w:spacing w:after="60"/>
      </w:pPr>
      <w:r>
        <w:t xml:space="preserve">Q03 Non – MFA absente sur messagerie et accès distants</w:t>
      </w:r>
    </w:p>
    <w:p>
      <w:pPr>
        <w:pStyle w:val="ListParagraph"/>
        <w:numPr>
          <w:ilvl w:val="0"/>
          <w:numId w:val="1"/>
        </w:numPr>
        <w:spacing w:after="60"/>
      </w:pPr>
      <w:r>
        <w:t xml:space="preserve">Q23 Non – Comptes admin non séparés des comptes quotidiens</w:t>
      </w:r>
    </w:p>
    <w:p>
      <w:pPr>
        <w:pStyle w:val="ListParagraph"/>
        <w:numPr>
          <w:ilvl w:val="0"/>
          <w:numId w:val="1"/>
        </w:numPr>
        <w:spacing w:after="60"/>
      </w:pPr>
      <w:r>
        <w:t xml:space="preserve">Q08 Non – Aucun PRA/PCA ransomware ou prestataire indisponible</w:t>
      </w:r>
    </w:p>
    <w:p>
      <w:pPr>
        <w:pStyle w:val="ListParagraph"/>
        <w:numPr>
          <w:ilvl w:val="0"/>
          <w:numId w:val="1"/>
        </w:numPr>
        <w:spacing w:after="60"/>
      </w:pPr>
      <w:r>
        <w:t xml:space="preserve">Q13 Non – Contrats prestataires sans clause sécurité ni réversibilité</w:t>
      </w:r>
    </w:p>
    <w:p>
      <w:pPr>
        <w:pStyle w:val="ListParagraph"/>
        <w:numPr>
          <w:ilvl w:val="0"/>
          <w:numId w:val="1"/>
        </w:numPr>
        <w:spacing w:after="60"/>
      </w:pPr>
      <w:r>
        <w:t xml:space="preserve">Q18 Non – Trajectoire facturation électronique 2026 non arrêtée</w:t>
      </w:r>
    </w:p>
    <w:p>
      <w:pPr>
        <w:pStyle w:val="ListParagraph"/>
        <w:numPr>
          <w:ilvl w:val="0"/>
          <w:numId w:val="1"/>
        </w:numPr>
        <w:spacing w:after="60"/>
      </w:pPr>
      <w:r>
        <w:t xml:space="preserve">Q01 Partiel – Pilote SI non clairement identifié</w:t>
      </w:r>
    </w:p>
    <w:p>
      <w:pPr>
        <w:pStyle w:val="ListParagraph"/>
        <w:numPr>
          <w:ilvl w:val="0"/>
          <w:numId w:val="1"/>
        </w:numPr>
        <w:spacing w:after="60"/>
      </w:pPr>
      <w:r>
        <w:t xml:space="preserve">Q04 Partiel – Droits d'accès non revus, départs non désactivés rapidement</w:t>
      </w:r>
    </w:p>
    <w:p>
      <w:pPr>
        <w:pStyle w:val="ListParagraph"/>
        <w:numPr>
          <w:ilvl w:val="0"/>
          <w:numId w:val="1"/>
        </w:numPr>
        <w:spacing w:after="60"/>
      </w:pPr>
      <w:r>
        <w:t xml:space="preserve">Q19 Partiel – Périmètre NIS2 non évalué</w:t>
      </w:r>
    </w:p>
    <w:p>
      <w:pPr>
        <w:pStyle w:val="Heading2"/>
        <w:spacing w:after="120" w:before="240"/>
      </w:pPr>
      <w:r>
        <w:rPr>
          <w:b/>
          <w:bCs/>
          <w:color w:val="6366F1"/>
          <w:sz w:val="26"/>
          <w:szCs w:val="26"/>
        </w:rPr>
        <w:t xml:space="preserve">Diag IT N2 — Diagnostic Avancé — Cybersécurité &amp; Gouvernance SI (score 50/100)</w:t>
      </w:r>
    </w:p>
    <w:p>
      <w:pPr>
        <w:spacing w:after="120"/>
      </w:pPr>
      <w:r>
        <w:t xml:space="preserve">Garonne Industries présente un SI partiellement structuré mais exposé à des risques cyber significatifs, directement en tension avec ses enjeux de conformité réglementaire et de cybersécurité. Les fondations de la gestion des identités sont fragiles : le moindre privilège n'est pas appliqué (A20 Non), les comptes admin ne sont que partiellement protégés par MFA (A17 Partiel) et la révocation des accès sortants reste incomplète (A19 Partiel), ce qui constitue une surface d'attaque critique pour tout scénario de compromission ou de croissance externe par acquisition. La sécurité réseau et les postes présentent des lacunes structurelles : les protocoles obsolètes restent actifs (A50 Non), la segmentation réseau est incomplète (A47 Partiel) et les mobiles accédant aux données d'entreprise ne sont pas gérés (A26 Non), autant de vecteurs d'entrée privilégiés pour un ransomware. La résilience opérationnelle est insuffisante au regard des enjeux : aucun exercice de crise cyber n'a été conduit dans les 12 derniers mois (A44 Non), le PCA/PRA ne couvre que partiellement les scénarios critiques (A43 Partiel) et il n'existe pas de plan de migration pour les systèmes en fin de vie (A14 Non), ce qui fragilise toute trajectoire de transformation digitale. Enfin, la gouvernance SI manque de formalisme décisionnel — absence de comité de pilotage IT avec la DG (A02 Non), feuille de route partielle (A01 Partiel) — et la classification des données est inexistante (A56 Non), rendant toute démarche RGPD ou due diligence M&amp;A structurellement incomplète.</w:t>
      </w:r>
    </w:p>
    <w:p>
      <w:pPr>
        <w:pStyle w:val="ListParagraph"/>
        <w:numPr>
          <w:ilvl w:val="0"/>
          <w:numId w:val="1"/>
        </w:numPr>
        <w:spacing w:after="60"/>
      </w:pPr>
      <w:r>
        <w:t xml:space="preserve">A20 Non — Moindre privilège non appliqué : accès utilisateurs non restreints au strict nécessaire</w:t>
      </w:r>
    </w:p>
    <w:p>
      <w:pPr>
        <w:pStyle w:val="ListParagraph"/>
        <w:numPr>
          <w:ilvl w:val="0"/>
          <w:numId w:val="1"/>
        </w:numPr>
        <w:spacing w:after="60"/>
      </w:pPr>
      <w:r>
        <w:t xml:space="preserve">A50 Non — Protocoles obsolètes actifs (TLS 1.0/1.1, SMBv1, NTLM v1, Telnet)</w:t>
      </w:r>
    </w:p>
    <w:p>
      <w:pPr>
        <w:pStyle w:val="ListParagraph"/>
        <w:numPr>
          <w:ilvl w:val="0"/>
          <w:numId w:val="1"/>
        </w:numPr>
        <w:spacing w:after="60"/>
      </w:pPr>
      <w:r>
        <w:t xml:space="preserve">A44 Non — Aucun exercice de crise cyber ou de continuité dans les 12 derniers mois</w:t>
      </w:r>
    </w:p>
    <w:p>
      <w:pPr>
        <w:pStyle w:val="ListParagraph"/>
        <w:numPr>
          <w:ilvl w:val="0"/>
          <w:numId w:val="1"/>
        </w:numPr>
        <w:spacing w:after="60"/>
      </w:pPr>
      <w:r>
        <w:t xml:space="preserve">A14 Non — Pas de plan de migration pour les systèmes en fin de vie</w:t>
      </w:r>
    </w:p>
    <w:p>
      <w:pPr>
        <w:pStyle w:val="ListParagraph"/>
        <w:numPr>
          <w:ilvl w:val="0"/>
          <w:numId w:val="1"/>
        </w:numPr>
        <w:spacing w:after="60"/>
      </w:pPr>
      <w:r>
        <w:t xml:space="preserve">A02 Non — Absence de comité de pilotage IT régulier avec la direction générale</w:t>
      </w:r>
    </w:p>
    <w:p>
      <w:pPr>
        <w:pStyle w:val="ListParagraph"/>
        <w:numPr>
          <w:ilvl w:val="0"/>
          <w:numId w:val="1"/>
        </w:numPr>
        <w:spacing w:after="60"/>
      </w:pPr>
      <w:r>
        <w:t xml:space="preserve">A56 Non — Données non classifiées, utilisateurs non sensibilisés à la classification</w:t>
      </w:r>
    </w:p>
    <w:p>
      <w:pPr>
        <w:pStyle w:val="ListParagraph"/>
        <w:numPr>
          <w:ilvl w:val="0"/>
          <w:numId w:val="1"/>
        </w:numPr>
        <w:spacing w:after="60"/>
      </w:pPr>
      <w:r>
        <w:t xml:space="preserve">A26 Non — Smartphones et tablettes accédant aux données d'entreprise non gérés (MDM/MAM)</w:t>
      </w:r>
    </w:p>
    <w:p>
      <w:pPr>
        <w:pStyle w:val="ListParagraph"/>
        <w:numPr>
          <w:ilvl w:val="0"/>
          <w:numId w:val="1"/>
        </w:numPr>
        <w:spacing w:after="60"/>
      </w:pPr>
      <w:r>
        <w:t xml:space="preserve">A38 Non — Aucun plan de réversibilité pour les SaaS critiques</w:t>
      </w:r>
    </w:p>
    <w:p>
      <w:pPr>
        <w:pStyle w:val="Heading2"/>
        <w:spacing w:after="120" w:before="240"/>
      </w:pPr>
      <w:r>
        <w:rPr>
          <w:b/>
          <w:bCs/>
          <w:color w:val="6366F1"/>
          <w:sz w:val="26"/>
          <w:szCs w:val="26"/>
        </w:rPr>
        <w:t xml:space="preserve">Zero Trust — Identité &amp; Accès / Gestion des terminaux (score 2/100)</w:t>
      </w:r>
    </w:p>
    <w:p>
      <w:pPr>
        <w:spacing w:after="120"/>
      </w:pPr>
      <w:r>
        <w:t xml:space="preserve">Garonne Industries présente une posture Zero Trust très immature, avec seulement 3 réponses positives sur 15 : l'absence d'annuaire centralisé (ZT01 Non) et de MFA généralisée (ZT02 Non) constituent des failles critiques, directement exploitables par des attaquants et incompatibles avec toute ambition de conformité réglementaire (NIS2, RGPD). L'authentification résistante au phishing est inexistante (ZT06 Non) et les processus JML ne sont pas automatisés (ZT07 Non), ce qui signifie que des comptes orphelins ou mal provisionnés coexistent probablement avec les accès actifs — risque aggravé par les opérations de croissance externe. Côté terminaux, l'absence de MDM/UEM (ZT11 Non) et de conditionnement de l'accès à la conformité de l'appareil (ZT12 Non) expose l'ensemble du SI à des équipements non maîtrisés, notamment dans un contexte industriel où l'IoT/OT est partiellement inventorié (ZT10 Partiel). Les points partiels sur les comptes à privilèges (ZT03), la revue des droits (ZT05), les comptes de service (ZT08) et l'EDR (ZT13) indiquent des initiatives engagées mais non finalisées, insuffisantes pour couvrir le périmètre réel de la transformation digitale en cours.</w:t>
      </w:r>
    </w:p>
    <w:p>
      <w:pPr>
        <w:pStyle w:val="ListParagraph"/>
        <w:numPr>
          <w:ilvl w:val="0"/>
          <w:numId w:val="1"/>
        </w:numPr>
        <w:spacing w:after="60"/>
      </w:pPr>
      <w:r>
        <w:t xml:space="preserve">ZT01 Non — pas d'annuaire centralisé : prestataires et comptes de service hors contrôle</w:t>
      </w:r>
    </w:p>
    <w:p>
      <w:pPr>
        <w:pStyle w:val="ListParagraph"/>
        <w:numPr>
          <w:ilvl w:val="0"/>
          <w:numId w:val="1"/>
        </w:numPr>
        <w:spacing w:after="60"/>
      </w:pPr>
      <w:r>
        <w:t xml:space="preserve">ZT02 Non — MFA non généralisée, y compris depuis le réseau interne</w:t>
      </w:r>
    </w:p>
    <w:p>
      <w:pPr>
        <w:pStyle w:val="ListParagraph"/>
        <w:numPr>
          <w:ilvl w:val="0"/>
          <w:numId w:val="1"/>
        </w:numPr>
        <w:spacing w:after="60"/>
      </w:pPr>
      <w:r>
        <w:t xml:space="preserve">ZT06 Non — aucune auth résistante au phishing sur les comptes sensibles</w:t>
      </w:r>
    </w:p>
    <w:p>
      <w:pPr>
        <w:pStyle w:val="ListParagraph"/>
        <w:numPr>
          <w:ilvl w:val="0"/>
          <w:numId w:val="1"/>
        </w:numPr>
        <w:spacing w:after="60"/>
      </w:pPr>
      <w:r>
        <w:t xml:space="preserve">ZT07 Non — JML non automatisé, risque de comptes orphelins post-croissance externe</w:t>
      </w:r>
    </w:p>
    <w:p>
      <w:pPr>
        <w:pStyle w:val="ListParagraph"/>
        <w:numPr>
          <w:ilvl w:val="0"/>
          <w:numId w:val="1"/>
        </w:numPr>
        <w:spacing w:after="60"/>
      </w:pPr>
      <w:r>
        <w:t xml:space="preserve">ZT11 Non — terminaux non enrôlés dans un MDM/UEM</w:t>
      </w:r>
    </w:p>
    <w:p>
      <w:pPr>
        <w:pStyle w:val="ListParagraph"/>
        <w:numPr>
          <w:ilvl w:val="0"/>
          <w:numId w:val="1"/>
        </w:numPr>
        <w:spacing w:after="60"/>
      </w:pPr>
      <w:r>
        <w:t xml:space="preserve">ZT12 Non — accès aux ressources non conditionné à la conformité de l'appareil</w:t>
      </w:r>
    </w:p>
    <w:p>
      <w:pPr>
        <w:pStyle w:val="ListParagraph"/>
        <w:numPr>
          <w:ilvl w:val="0"/>
          <w:numId w:val="1"/>
        </w:numPr>
        <w:spacing w:after="60"/>
      </w:pPr>
      <w:r>
        <w:t xml:space="preserve">ZT03 Partiel — comptes à privilèges distincts mais élévation JIT/PIM incomplète</w:t>
      </w:r>
    </w:p>
    <w:p>
      <w:pPr>
        <w:pStyle w:val="ListParagraph"/>
        <w:numPr>
          <w:ilvl w:val="0"/>
          <w:numId w:val="1"/>
        </w:numPr>
        <w:spacing w:after="60"/>
      </w:pPr>
      <w:r>
        <w:t xml:space="preserve">ZT08 Partiel — comptes de service partiellement inventoriés, rotation des secrets non systématique</w:t>
      </w:r>
    </w:p>
    <w:p>
      <w:pPr>
        <w:pStyle w:val="ListParagraph"/>
        <w:numPr>
          <w:ilvl w:val="0"/>
          <w:numId w:val="1"/>
        </w:numPr>
        <w:spacing w:after="60"/>
      </w:pPr>
      <w:r>
        <w:t xml:space="preserve">ZT13 Partiel — EDR déployé partiellement, supervision des alertes non assurée sur tout le parc</w:t>
      </w:r>
    </w:p>
    <w:p>
      <w:pPr>
        <w:pStyle w:val="Heading1"/>
        <w:pageBreakBefore/>
        <w:spacing w:after="160" w:before="320"/>
      </w:pPr>
      <w:r>
        <w:rPr>
          <w:b/>
          <w:bCs/>
          <w:color w:val="6366F1"/>
          <w:sz w:val="36"/>
          <w:szCs w:val="36"/>
        </w:rPr>
        <w:t xml:space="preserve">6. Croisement enjeux business / IT</w:t>
      </w:r>
    </w:p>
    <w:p>
      <w:pPr>
        <w:spacing w:after="120"/>
      </w:pPr>
      <w:r>
        <w:rPr>
          <w:b/>
          <w:bCs/>
        </w:rPr>
        <w:t xml:space="preserve">La matrice de croisement constats/enjeux révèle une concentration de risques sur deux axes prioritaires : cybersécurité et conformité réglementaire, qui se renforcent mutuellement.</w:t>
      </w:r>
      <w:r>
        <w:t xml:space="preserve"> L'absence de MFA, d'annuaire centralisé et de gestion des droits (Zero Trust, Diag Express, Diag Avancé) est à la fois une faille cyber exploitable immédiatement et une non-conformité NIS2/RGPD documentée. De même, l'inexistence du registre RGPD et de la politique risques formalisée bloque simultanément la démonstration de conformité réglementaire et la due diligence croissance externe. Le Modern Workplace fragmenté (MDM absent, patching non maîtrisé, sauvegardes non vérifiées) est le vecteur technique par lequel un ransomware se propagerait, rendant le PCA/PRA — lui-même inexistant en version opérationnelle — inopérant. La transformation digitale, enfin, est structurellement bloquée : chaque nouveau projet SaaS ou outil métier déployé sur ce socle amplifie l'exposition sans que la gouvernance ni la sécurité ne soient en mesure d'absorber le risque additionnel.</w:t>
      </w:r>
    </w:p>
    <w:p>
      <w:pPr>
        <w:spacing w:after="120"/>
      </w:pPr>
      <w:r>
        <w:rPr>
          <w:b/>
          <w:bCs/>
        </w:rPr>
        <w:t xml:space="preserve">L'enjeu de croissance externe agit comme un catalyseur de toutes les vulnérabilités identifiées.</w:t>
      </w:r>
      <w:r>
        <w:t xml:space="preserve"> Une due diligence cyber conduite par un acquéreur ou un partenaire industriel sur le périmètre actuel conclurait à un risque élevé non maîtrisé, susceptible de bloquer ou de décôter l'opération. Inversement, traiter les fondations — identité, gouvernance, RGPD, PCA — dans les 90 prochains jours crée une posture défendable et démontre une trajectoire de maturité crédible, ce qui est précisément ce qu'un acquéreur ou un auditeur NIS2 cherche à vérifier. Le plan d'action proposé est donc dimensionné pour produire des livrables opposables (politique risques validée en CODIR, registre RGPD opérationnel, MFA déployée, PCA testé) avant toute échéance réglementaire ou opération M&amp;A.</w:t>
      </w:r>
    </w:p>
    <w:p>
      <w:pPr>
        <w:pStyle w:val="Heading1"/>
        <w:pageBreakBefore/>
        <w:spacing w:after="160" w:before="320"/>
      </w:pPr>
      <w:r>
        <w:rPr>
          <w:b/>
          <w:bCs/>
          <w:color w:val="6366F1"/>
          <w:sz w:val="36"/>
          <w:szCs w:val="36"/>
        </w:rPr>
        <w:t xml:space="preserve">7. Risques prioritaires</w:t>
      </w:r>
    </w:p>
    <w:p>
      <w:pPr>
        <w:pStyle w:val="Heading2"/>
        <w:spacing w:after="120" w:before="240"/>
      </w:pPr>
      <w:r>
        <w:rPr>
          <w:b/>
          <w:bCs/>
          <w:color w:val="6366F1"/>
          <w:sz w:val="26"/>
          <w:szCs w:val="26"/>
        </w:rPr>
        <w:t xml:space="preserve">7.b Lecture consolidée</w:t>
      </w:r>
    </w:p>
    <w:p>
      <w:pPr>
        <w:spacing w:after="120"/>
      </w:pPr>
      <w:r>
        <w:rPr>
          <w:b/>
          <w:bCs/>
        </w:rPr>
        <w:t xml:space="preserve">1. Ransomware avec indisponibilité totale de production</w:t>
      </w:r>
      <w:r>
        <w:t xml:space="preserve"> : MFA absente, droits admin non séparés, PCA inexistant et sauvegardes non vérifiées constituent un scénario de compromission complète à probabilité élevée, avec impact critique sur la continuité industrielle et les obligations NIS2. </w:t>
      </w:r>
      <w:r>
        <w:rPr>
          <w:b/>
          <w:bCs/>
        </w:rPr>
        <w:t xml:space="preserve">2. Sanction CNIL pour non-conformité RGPD caractérisée</w:t>
      </w:r>
      <w:r>
        <w:t xml:space="preserve"> : registre absent, droits des personnes non gérés, sécurité technique insuffisante — trois conditions réunies pour une mise en demeure ou une amende significative, aggravées par l'absence de DPO indépendant. </w:t>
      </w:r>
      <w:r>
        <w:rPr>
          <w:b/>
          <w:bCs/>
        </w:rPr>
        <w:t xml:space="preserve">3. Blocage ou décote d'une opération de croissance externe</w:t>
      </w:r>
      <w:r>
        <w:t xml:space="preserve"> : une due diligence cyber sur le périmètre actuel conclurait à un risque non maîtrisé, susceptible de bloquer la transaction ou d'imposer une clause de remédiation coûteuse. </w:t>
      </w:r>
      <w:r>
        <w:rPr>
          <w:b/>
          <w:bCs/>
        </w:rPr>
        <w:t xml:space="preserve">4. Compromission par compte orphelin ou prestataire non encadré</w:t>
      </w:r>
      <w:r>
        <w:t xml:space="preserve"> : absence de JML automatisé, clauses prestataires incomplètes et contrats sans réversibilité créent des accès résiduels non détectables avec la journalisation actuelle. </w:t>
      </w:r>
      <w:r>
        <w:rPr>
          <w:b/>
          <w:bCs/>
        </w:rPr>
        <w:t xml:space="preserve">5. Non-conformité NIS2 avec mise en demeure de l'ANSSI</w:t>
      </w:r>
      <w:r>
        <w:t xml:space="preserve"> : l'exposition NIS2 n'est que partiellement évaluée alors que Garonne Industries est potentiellement entité essentielle — l'absence de politique risques, de PCA testé et de mesures techniques de base (MFA, segmentation) constitue un défaut de conformité documenté dès l'entrée en vigueur.</w:t>
      </w:r>
    </w:p>
    <w:p>
      <w:pPr>
        <w:pStyle w:val="Heading1"/>
        <w:pageBreakBefore/>
        <w:spacing w:after="160" w:before="320"/>
      </w:pPr>
      <w:r>
        <w:rPr>
          <w:b/>
          <w:bCs/>
          <w:color w:val="6366F1"/>
          <w:sz w:val="36"/>
          <w:szCs w:val="36"/>
        </w:rPr>
        <w:t xml:space="preserve">8. Plan d'action 30 / 60 / 90 jours</w:t>
      </w:r>
    </w:p>
    <w:p>
      <w:pPr>
        <w:pStyle w:val="Heading2"/>
        <w:spacing w:after="120" w:before="240"/>
      </w:pPr>
      <w:r>
        <w:rPr>
          <w:b/>
          <w:bCs/>
          <w:color w:val="6366F1"/>
          <w:sz w:val="26"/>
          <w:szCs w:val="26"/>
        </w:rPr>
        <w:t xml:space="preserve">Horizon 30j (4 actions)</w:t>
      </w:r>
    </w:p>
    <w:p>
      <w:pPr>
        <w:spacing w:after="40" w:before="120"/>
      </w:pPr>
      <w:r>
        <w:rPr>
          <w:b/>
          <w:bCs/>
          <w:color w:val="6366F1"/>
        </w:rPr>
        <w:t xml:space="preserve">Désigner un pilote SI mandaté et installer un comité de pilotage IT mensuel avec la DG</w:t>
      </w:r>
      <w:r>
        <w:rPr>
          <w:b/>
          <w:bCs/>
          <w:color w:val="FFFFFF"/>
          <w:highlight w:val="red"/>
          <w:highlightCs w:val="red"/>
        </w:rPr>
        <w:t xml:space="preserve"> [Critique] </w:t>
      </w:r>
    </w:p>
    <w:p>
      <w:pPr>
        <w:spacing w:after="40"/>
      </w:pPr>
      <w:r>
        <w:rPr>
          <w:i/>
          <w:iCs/>
          <w:color w:val="475569"/>
          <w:sz w:val="18"/>
          <w:szCs w:val="18"/>
        </w:rPr>
        <w:t xml:space="preserve">Axe : Gouvernance SI  ·  Source : diagnostic-avance</w:t>
      </w:r>
    </w:p>
    <w:p>
      <w:pPr>
        <w:spacing w:after="120"/>
      </w:pPr>
      <w:r>
        <w:t xml:space="preserve">L'absence de gouvernance formelle (A02 Non, Q01 Partiel) est la cause racine de l'accumulation de toutes les lacunes identifiées. Sans pilote mandaté et sans instance décisionnelle, aucun chantier ne peut être priorisé ni tenu. Cette action est le prérequis de toutes les autres et doit être actée en CODIR dans les 30 premiers jours.</w:t>
      </w:r>
    </w:p>
    <w:p>
      <w:pPr>
        <w:spacing w:after="40" w:before="120"/>
      </w:pPr>
      <w:r>
        <w:rPr>
          <w:b/>
          <w:bCs/>
          <w:color w:val="6366F1"/>
        </w:rPr>
        <w:t xml:space="preserve">Déployer la MFA sur la messagerie, les accès distants et les comptes à privilèges</w:t>
      </w:r>
      <w:r>
        <w:rPr>
          <w:b/>
          <w:bCs/>
          <w:color w:val="FFFFFF"/>
          <w:highlight w:val="red"/>
          <w:highlightCs w:val="red"/>
        </w:rPr>
        <w:t xml:space="preserve"> [Critique] </w:t>
      </w:r>
    </w:p>
    <w:p>
      <w:pPr>
        <w:spacing w:after="40"/>
      </w:pPr>
      <w:r>
        <w:rPr>
          <w:i/>
          <w:iCs/>
          <w:color w:val="475569"/>
          <w:sz w:val="18"/>
          <w:szCs w:val="18"/>
        </w:rPr>
        <w:t xml:space="preserve">Axe : Cybersécurité &amp; Identité  ·  Source : diagnostic-express</w:t>
      </w:r>
    </w:p>
    <w:p>
      <w:pPr>
        <w:spacing w:after="120"/>
      </w:pPr>
      <w:r>
        <w:t xml:space="preserve">La MFA absente sur messagerie et accès distants (Q03 Non) combinée à des comptes admin sans séparation (Q23 Non) constitue la surface d'attaque la plus immédiatement exploitable. Le déploiement MFA est l'action cyber à ROI le plus élevé, compatible NIS2 et RGPD, réalisable en 2-3 semaines sur M365/Azure AD sans refonte du SI. Elle ferme simultanément des non-conformités NIS2 et RGPD.</w:t>
      </w:r>
    </w:p>
    <w:p>
      <w:pPr>
        <w:spacing w:after="40" w:before="120"/>
      </w:pPr>
      <w:r>
        <w:rPr>
          <w:b/>
          <w:bCs/>
          <w:color w:val="6366F1"/>
        </w:rPr>
        <w:t xml:space="preserve">Formaliser et valider en CODIR une politique de gestion des risques IT/cyber (ISO 31000 simplifiée)</w:t>
      </w:r>
      <w:r>
        <w:rPr>
          <w:b/>
          <w:bCs/>
          <w:color w:val="FFFFFF"/>
          <w:highlight w:val="red"/>
          <w:highlightCs w:val="red"/>
        </w:rPr>
        <w:t xml:space="preserve"> [Critique] </w:t>
      </w:r>
    </w:p>
    <w:p>
      <w:pPr>
        <w:spacing w:after="40"/>
      </w:pPr>
      <w:r>
        <w:rPr>
          <w:i/>
          <w:iCs/>
          <w:color w:val="475569"/>
          <w:sz w:val="18"/>
          <w:szCs w:val="18"/>
        </w:rPr>
        <w:t xml:space="preserve">Axe : Gouvernance &amp; pilotage des risques  ·  Source : diagnostic-gestion-risques</w:t>
      </w:r>
    </w:p>
    <w:p>
      <w:pPr>
        <w:spacing w:after="120"/>
      </w:pPr>
      <w:r>
        <w:t xml:space="preserve">L'absence totale de politique formalisée (RISK01 Non) rend impossible toute démonstration de diligence raisonnable face à un audit NIS2, RGPD ou due diligence M&amp;A. Un document d'une dizaine de pages, validé en CODIR, suffit à poser le cadre méthodologique et à activer les chantiers de traitement. C'est le livrable réglementaire le plus rapide à produire et le plus structurant.</w:t>
      </w:r>
    </w:p>
    <w:p>
      <w:pPr>
        <w:spacing w:after="40" w:before="120"/>
      </w:pPr>
      <w:r>
        <w:rPr>
          <w:b/>
          <w:bCs/>
          <w:color w:val="6366F1"/>
        </w:rPr>
        <w:t xml:space="preserve">Lancer le registre des traitements RGPD et désigner/confirmer un DPO avec indépendance garantie</w:t>
      </w:r>
      <w:r>
        <w:rPr>
          <w:b/>
          <w:bCs/>
          <w:color w:val="FFFFFF"/>
          <w:highlight w:val="red"/>
          <w:highlightCs w:val="red"/>
        </w:rPr>
        <w:t xml:space="preserve"> [Critique] </w:t>
      </w:r>
    </w:p>
    <w:p>
      <w:pPr>
        <w:spacing w:after="40"/>
      </w:pPr>
      <w:r>
        <w:rPr>
          <w:i/>
          <w:iCs/>
          <w:color w:val="475569"/>
          <w:sz w:val="18"/>
          <w:szCs w:val="18"/>
        </w:rPr>
        <w:t xml:space="preserve">Axe : Conformité réglementaire &amp; RGPD  ·  Source : diagnostic-rgpd</w:t>
      </w:r>
    </w:p>
    <w:p>
      <w:pPr>
        <w:spacing w:after="120"/>
      </w:pPr>
      <w:r>
        <w:t xml:space="preserve">L'absence de registre (RGPD03 Non) est une infraction caractérisée, premier point de contrôle CNIL. La désignation d'un DPO sans indépendance garantie (RGPD01 Partiel) fragilise toute la démarche. Ces deux actions sont réalisables en 30 jours avec un appui externe ponctuel et constituent le socle minimal de défendabilité réglementaire, notamment en cas d'opération de croissance externe.</w:t>
      </w:r>
    </w:p>
    <w:p>
      <w:pPr>
        <w:pStyle w:val="Heading2"/>
        <w:spacing w:after="120" w:before="240"/>
      </w:pPr>
      <w:r>
        <w:rPr>
          <w:b/>
          <w:bCs/>
          <w:color w:val="6366F1"/>
          <w:sz w:val="26"/>
          <w:szCs w:val="26"/>
        </w:rPr>
        <w:t xml:space="preserve">Horizon 60j (5 actions)</w:t>
      </w:r>
    </w:p>
    <w:p>
      <w:pPr>
        <w:spacing w:after="40" w:before="120"/>
      </w:pPr>
      <w:r>
        <w:rPr>
          <w:b/>
          <w:bCs/>
          <w:color w:val="6366F1"/>
        </w:rPr>
        <w:t xml:space="preserve">Déployer un MDM/UEM sur l'ensemble du parc (postes, mobiles) et activer le chiffrement disque complet</w:t>
      </w:r>
      <w:r>
        <w:rPr>
          <w:b/>
          <w:bCs/>
          <w:color w:val="FFFFFF"/>
          <w:highlight w:val="red"/>
          <w:highlightCs w:val="red"/>
        </w:rPr>
        <w:t xml:space="preserve"> [Critique] </w:t>
      </w:r>
    </w:p>
    <w:p>
      <w:pPr>
        <w:spacing w:after="40"/>
      </w:pPr>
      <w:r>
        <w:rPr>
          <w:i/>
          <w:iCs/>
          <w:color w:val="475569"/>
          <w:sz w:val="18"/>
          <w:szCs w:val="18"/>
        </w:rPr>
        <w:t xml:space="preserve">Axe : Endpoint &amp; sécurité poste  ·  Source : modern-workplace</w:t>
      </w:r>
    </w:p>
    <w:p>
      <w:pPr>
        <w:spacing w:after="120"/>
      </w:pPr>
      <w:r>
        <w:t xml:space="preserve">L'absence de MDM (MW11 Non, ZT11 Non) et le chiffrement partiel (MW14 Partiel) laissent le parc non supervisé et les données exposées en cas de perte ou vol. Dans un contexte de croissance externe, chaque nouvel équipement intégré sans MDM est un vecteur de contamination. Le déploiement MDM (Intune ou équivalent) est le prérequis technique au Zero Trust et à la conformité NIS2 sur les terminaux.</w:t>
      </w:r>
    </w:p>
    <w:p>
      <w:pPr>
        <w:spacing w:after="40" w:before="120"/>
      </w:pPr>
      <w:r>
        <w:rPr>
          <w:b/>
          <w:bCs/>
          <w:color w:val="6366F1"/>
        </w:rPr>
        <w:t xml:space="preserve">Mettre en place un annuaire centralisé (Azure AD / Entra ID) et automatiser les processus JML</w:t>
      </w:r>
      <w:r>
        <w:rPr>
          <w:b/>
          <w:bCs/>
          <w:color w:val="FFFFFF"/>
          <w:highlight w:val="red"/>
          <w:highlightCs w:val="red"/>
        </w:rPr>
        <w:t xml:space="preserve"> [Critique] </w:t>
      </w:r>
    </w:p>
    <w:p>
      <w:pPr>
        <w:spacing w:after="40"/>
      </w:pPr>
      <w:r>
        <w:rPr>
          <w:i/>
          <w:iCs/>
          <w:color w:val="475569"/>
          <w:sz w:val="18"/>
          <w:szCs w:val="18"/>
        </w:rPr>
        <w:t xml:space="preserve">Axe : Identité &amp; Accès / Zero Trust  ·  Source : diagnostic-zero-trust</w:t>
      </w:r>
    </w:p>
    <w:p>
      <w:pPr>
        <w:spacing w:after="120"/>
      </w:pPr>
      <w:r>
        <w:t xml:space="preserve">L'absence d'annuaire centralisé (ZT01 Non) et de processus JML automatisés (ZT07 Non) génère des comptes orphelins et des droits résiduels non maîtrisés — risque aggravé par les opérations M&amp;A. La centralisation de l'identité est le fondement du Zero Trust et conditionne le SSO, la revue des droits et la révocation fiable des accès sortants (A19 Partiel). Ce chantier de 60 jours doit s'appuyer sur la MFA déployée à J+30.</w:t>
      </w:r>
    </w:p>
    <w:p>
      <w:pPr>
        <w:spacing w:after="40" w:before="120"/>
      </w:pPr>
      <w:r>
        <w:rPr>
          <w:b/>
          <w:bCs/>
          <w:color w:val="6366F1"/>
        </w:rPr>
        <w:t xml:space="preserve">Appliquer le principe de moindre privilège et supprimer les droits admin des comptes du quotidien</w:t>
      </w:r>
      <w:r>
        <w:rPr>
          <w:b/>
          <w:bCs/>
          <w:color w:val="FFFFFF"/>
          <w:highlight w:val="yellow"/>
          <w:highlightCs w:val="yellow"/>
        </w:rPr>
        <w:t xml:space="preserve"> [Élevé] </w:t>
      </w:r>
    </w:p>
    <w:p>
      <w:pPr>
        <w:spacing w:after="40"/>
      </w:pPr>
      <w:r>
        <w:rPr>
          <w:i/>
          <w:iCs/>
          <w:color w:val="475569"/>
          <w:sz w:val="18"/>
          <w:szCs w:val="18"/>
        </w:rPr>
        <w:t xml:space="preserve">Axe : Cybersécurité &amp; Gouvernance SI  ·  Source : diagnostic-avance</w:t>
      </w:r>
    </w:p>
    <w:p>
      <w:pPr>
        <w:spacing w:after="120"/>
      </w:pPr>
      <w:r>
        <w:t xml:space="preserve">Les comptes du quotidien avec droits admin (Q23 Non, A20 Non) constituent un vecteur de propagation latérale immédiat en cas de compromission. La séparation des droits est une mesure technique de niveau 1 dans tous les référentiels (NIS2, CIS Controls, ANSSI). Elle est réalisable en 60 jours en parallèle du déploiement MDM et de la centralisation de l'annuaire.</w:t>
      </w:r>
    </w:p>
    <w:p>
      <w:pPr>
        <w:spacing w:after="40" w:before="120"/>
      </w:pPr>
      <w:r>
        <w:rPr>
          <w:b/>
          <w:bCs/>
          <w:color w:val="6366F1"/>
        </w:rPr>
        <w:t xml:space="preserve">Mettre en place les procédures de gestion des droits des personnes (RGPD) et réviser les clauses sous-traitants</w:t>
      </w:r>
      <w:r>
        <w:rPr>
          <w:b/>
          <w:bCs/>
          <w:color w:val="FFFFFF"/>
          <w:highlight w:val="yellow"/>
          <w:highlightCs w:val="yellow"/>
        </w:rPr>
        <w:t xml:space="preserve"> [Élevé] </w:t>
      </w:r>
    </w:p>
    <w:p>
      <w:pPr>
        <w:spacing w:after="40"/>
      </w:pPr>
      <w:r>
        <w:rPr>
          <w:i/>
          <w:iCs/>
          <w:color w:val="475569"/>
          <w:sz w:val="18"/>
          <w:szCs w:val="18"/>
        </w:rPr>
        <w:t xml:space="preserve">Axe : Conformité réglementaire &amp; RGPD  ·  Source : diagnostic-rgpd</w:t>
      </w:r>
    </w:p>
    <w:p>
      <w:pPr>
        <w:spacing w:after="120"/>
      </w:pPr>
      <w:r>
        <w:t xml:space="preserve">L'absence de procédures de gestion des droits (RGPD07 Non) est une infraction caractérisée exposant à des sanctions financières. Les clauses sous-traitants incomplètes (RGPD13 Partiel) fragilisent chaque contrat SaaS et prestataire. Ces deux chantiers juridico-opérationnels sont réalisables en 60 jours avec le DPO désigné à J+30 et constituent des livrables opposables lors d'une due diligence.</w:t>
      </w:r>
    </w:p>
    <w:p>
      <w:pPr>
        <w:spacing w:after="40" w:before="120"/>
      </w:pPr>
      <w:r>
        <w:rPr>
          <w:b/>
          <w:bCs/>
          <w:color w:val="6366F1"/>
        </w:rPr>
        <w:t xml:space="preserve">Définir et tester un PCA/PRA couvrant le scénario ransomware, avec vérification de la règle 3-2-1</w:t>
      </w:r>
      <w:r>
        <w:rPr>
          <w:b/>
          <w:bCs/>
          <w:color w:val="FFFFFF"/>
          <w:highlight w:val="red"/>
          <w:highlightCs w:val="red"/>
        </w:rPr>
        <w:t xml:space="preserve"> [Critique] </w:t>
      </w:r>
    </w:p>
    <w:p>
      <w:pPr>
        <w:spacing w:after="40"/>
      </w:pPr>
      <w:r>
        <w:rPr>
          <w:i/>
          <w:iCs/>
          <w:color w:val="475569"/>
          <w:sz w:val="18"/>
          <w:szCs w:val="18"/>
        </w:rPr>
        <w:t xml:space="preserve">Axe : Résilience opérationnelle  ·  Source : diagnostic-express</w:t>
      </w:r>
    </w:p>
    <w:p>
      <w:pPr>
        <w:spacing w:after="120"/>
      </w:pPr>
      <w:r>
        <w:t xml:space="preserve">L'absence de PRA/PCA opérationnel (Q08 Non) et de sauvegarde 3-2-1 vérifiée (MW23 Non) signifie qu'un ransomware entraînerait une indisponibilité totale non maîtrisée. Dans un contexte industriel (directive Machine, continuité de production), ce risque est inacceptable. Le test du PCA est également une exigence NIS2 pour les entités essentielles. Un exercice de crise documenté en 60 jours est réaliste.</w:t>
      </w:r>
    </w:p>
    <w:p>
      <w:pPr>
        <w:pStyle w:val="Heading2"/>
        <w:spacing w:after="120" w:before="240"/>
      </w:pPr>
      <w:r>
        <w:rPr>
          <w:b/>
          <w:bCs/>
          <w:color w:val="6366F1"/>
          <w:sz w:val="26"/>
          <w:szCs w:val="26"/>
        </w:rPr>
        <w:t xml:space="preserve">Horizon 90j (3 actions)</w:t>
      </w:r>
    </w:p>
    <w:p>
      <w:pPr>
        <w:spacing w:after="40" w:before="120"/>
      </w:pPr>
      <w:r>
        <w:rPr>
          <w:b/>
          <w:bCs/>
          <w:color w:val="6366F1"/>
        </w:rPr>
        <w:t xml:space="preserve">Segmenter le réseau (IT/OT/invités) et désactiver les protocoles obsolètes</w:t>
      </w:r>
      <w:r>
        <w:rPr>
          <w:b/>
          <w:bCs/>
          <w:color w:val="FFFFFF"/>
          <w:highlight w:val="yellow"/>
          <w:highlightCs w:val="yellow"/>
        </w:rPr>
        <w:t xml:space="preserve"> [Élevé] </w:t>
      </w:r>
    </w:p>
    <w:p>
      <w:pPr>
        <w:spacing w:after="40"/>
      </w:pPr>
      <w:r>
        <w:rPr>
          <w:i/>
          <w:iCs/>
          <w:color w:val="475569"/>
          <w:sz w:val="18"/>
          <w:szCs w:val="18"/>
        </w:rPr>
        <w:t xml:space="preserve">Axe : Cybersécurité réseau &amp; OT  ·  Source : diagnostic-avance</w:t>
      </w:r>
    </w:p>
    <w:p>
      <w:pPr>
        <w:spacing w:after="120"/>
      </w:pPr>
      <w:r>
        <w:t xml:space="preserve">La segmentation incomplète (A47 Partiel) et les protocoles obsolètes actifs (A50 Non) constituent des vecteurs d'entrée privilégiés pour un ransomware, notamment dans un environnement industriel où l'IT et l'OT cohabitent. Ce chantier réseau, plus complexe, doit s'appuyer sur les fondations posées à J+30/60 (MDM, annuaire, politique risques) et être planifié avec les équipes de production pour minimiser l'impact opérationnel.</w:t>
      </w:r>
    </w:p>
    <w:p>
      <w:pPr>
        <w:spacing w:after="40" w:before="120"/>
      </w:pPr>
      <w:r>
        <w:rPr>
          <w:b/>
          <w:bCs/>
          <w:color w:val="6366F1"/>
        </w:rPr>
        <w:t xml:space="preserve">Produire la feuille de route SI 18 mois, intégrant NIS2, facturation électronique 2026 et trajectoire Zero Trust</w:t>
      </w:r>
      <w:r>
        <w:rPr>
          <w:b/>
          <w:bCs/>
          <w:color w:val="FFFFFF"/>
          <w:highlight w:val="cyan"/>
          <w:highlightCs w:val="cyan"/>
        </w:rPr>
        <w:t xml:space="preserve"> [Modéré] </w:t>
      </w:r>
    </w:p>
    <w:p>
      <w:pPr>
        <w:spacing w:after="40"/>
      </w:pPr>
      <w:r>
        <w:rPr>
          <w:i/>
          <w:iCs/>
          <w:color w:val="475569"/>
          <w:sz w:val="18"/>
          <w:szCs w:val="18"/>
        </w:rPr>
        <w:t xml:space="preserve">Axe : Gouvernance SI &amp; transformation digitale  ·  Source : diagnostic-express</w:t>
      </w:r>
    </w:p>
    <w:p>
      <w:pPr>
        <w:spacing w:after="120"/>
      </w:pPr>
      <w:r>
        <w:t xml:space="preserve">L'absence de feuille de route consolidée (A01 Partiel) et la trajectoire facturation électronique 2026 non arrêtée (Q18 Non) exposent l'entreprise à des ruptures réglementaires et opérationnelles. À J+90, les fondations de gouvernance et de sécurité étant posées, le pilote SI mandaté peut produire une roadmap crédible, priorisée et budgétée, intégrant les enjeux de croissance externe et de transformation digitale dans un cadre de risque maîtrisé.</w:t>
      </w:r>
    </w:p>
    <w:p>
      <w:pPr>
        <w:spacing w:after="40" w:before="120"/>
      </w:pPr>
      <w:r>
        <w:rPr>
          <w:b/>
          <w:bCs/>
          <w:color w:val="6366F1"/>
        </w:rPr>
        <w:t xml:space="preserve">Conduire une analyse de risques formelle (RISK04) et mettre en place des KRI mensuels reportés au CODIR</w:t>
      </w:r>
      <w:r>
        <w:rPr>
          <w:b/>
          <w:bCs/>
          <w:color w:val="FFFFFF"/>
          <w:highlight w:val="yellow"/>
          <w:highlightCs w:val="yellow"/>
        </w:rPr>
        <w:t xml:space="preserve"> [Élevé] </w:t>
      </w:r>
    </w:p>
    <w:p>
      <w:pPr>
        <w:spacing w:after="40"/>
      </w:pPr>
      <w:r>
        <w:rPr>
          <w:i/>
          <w:iCs/>
          <w:color w:val="475569"/>
          <w:sz w:val="18"/>
          <w:szCs w:val="18"/>
        </w:rPr>
        <w:t xml:space="preserve">Axe : Gouvernance &amp; pilotage des risques  ·  Source : diagnostic-gestion-risques</w:t>
      </w:r>
    </w:p>
    <w:p>
      <w:pPr>
        <w:spacing w:after="120"/>
      </w:pPr>
      <w:r>
        <w:t xml:space="preserve">L'absence d'analyse couvrant les scénarios stratégiques (RISK04 Non) et de KRI reportés au management (RISK10 Non) empêche tout pilotage éclairé. À J+90, la politique risques validée à J+30 et les premiers chantiers techniques réalisés permettent de conduire une analyse de risques outillée (registre vivant, scénarios M&amp;A et cyber) et d'installer un reporting mensuel au CODIR — condition de la maturité NIS2 et de la crédibilité en due diligence.</w:t>
      </w:r>
    </w:p>
    <w:p>
      <w:pPr>
        <w:pStyle w:val="Heading1"/>
        <w:pageBreakBefore/>
        <w:spacing w:after="160" w:before="320"/>
      </w:pPr>
      <w:r>
        <w:rPr>
          <w:b/>
          <w:bCs/>
          <w:color w:val="6366F1"/>
          <w:sz w:val="36"/>
          <w:szCs w:val="36"/>
        </w:rPr>
        <w:t xml:space="preserve">9. Recommandation de cadrage</w:t>
      </w:r>
    </w:p>
    <w:p>
      <w:pPr>
        <w:spacing w:after="120"/>
      </w:pPr>
      <w:r>
        <w:rPr>
          <w:b/>
          <w:bCs/>
        </w:rPr>
        <w:t xml:space="preserve">La priorité absolue du cadrage est de nommer un pilote SI mandaté par la direction générale dans les 15 premiers jours</w:t>
      </w:r>
      <w:r>
        <w:t xml:space="preserve">, avec un mandat explicite couvrant gouvernance, cybersécurité et conformité réglementaire. Sans cette décision de gouvernance, aucun des chantiers techniques identifiés ne peut être tenu dans les délais requis. Le budget minimal à provisionner pour les 90 premiers jours couvre : la désignation ou l'externalisation du DPO, le déploiement MDM/MFA (licences et intégration), un appui juridique RGPD pour le registre et les clauses sous-traitants, et un exercice PCA facilité. L'ensemble est estimable entre 25 000 et 45 000 € selon les ressources internes mobilisables, à mettre en regard du coût d'un incident ransomware (arrêt de production, rançon, notification CNIL) ou d'une décote M&amp;A sur un SI non sécurisé — deux scénarios dont la probabilité est aujourd'hui élevée au regard des constats.</w:t>
      </w:r>
    </w:p>
    <w:p>
      <w:pPr>
        <w:pStyle w:val="Heading1"/>
        <w:pageBreakBefore/>
        <w:spacing w:after="160" w:before="320"/>
      </w:pPr>
      <w:r>
        <w:rPr>
          <w:b/>
          <w:bCs/>
          <w:color w:val="6366F1"/>
          <w:sz w:val="36"/>
          <w:szCs w:val="36"/>
        </w:rPr>
        <w:t xml:space="preserve">10. Liens avec les livrables existants</w:t>
      </w:r>
    </w:p>
    <w:p>
      <w:pPr>
        <w:pStyle w:val="ListParagraph"/>
        <w:numPr>
          <w:ilvl w:val="0"/>
          <w:numId w:val="1"/>
        </w:numPr>
        <w:spacing w:after="60"/>
      </w:pPr>
      <w:r>
        <w:t xml:space="preserve">Mini-audit MA-TEST-PME-001-cmq11v — statut : delivered · score 48/100</w:t>
      </w:r>
    </w:p>
    <w:p>
      <w:pPr>
        <w:pStyle w:val="ListParagraph"/>
        <w:numPr>
          <w:ilvl w:val="0"/>
          <w:numId w:val="1"/>
        </w:numPr>
        <w:spacing w:after="60"/>
      </w:pPr>
      <w:r>
        <w:t xml:space="preserve">SOW STEL-DEMO-PME-cmq11v — type : initial · statut : accepted</w:t>
      </w:r>
    </w:p>
    <w:p>
      <w:pPr>
        <w:pStyle w:val="Heading1"/>
        <w:pageBreakBefore/>
        <w:spacing w:after="160" w:before="320"/>
      </w:pPr>
      <w:r>
        <w:rPr>
          <w:b/>
          <w:bCs/>
          <w:color w:val="6366F1"/>
          <w:sz w:val="36"/>
          <w:szCs w:val="36"/>
        </w:rPr>
        <w:t xml:space="preserve">Annexe A — À propos de Cabinet Démo</w:t>
      </w:r>
    </w:p>
    <w:p>
      <w:pPr>
        <w:spacing w:after="120"/>
      </w:pPr>
      <w:r>
        <w:rPr>
          <w:i/>
          <w:iCs/>
          <w:color w:val="475569"/>
        </w:rPr>
        <w:t xml:space="preserve">DSI à temps partagé pour PME et ETI</w:t>
      </w:r>
    </w:p>
    <w:p>
      <w:pPr>
        <w:pStyle w:val="Heading2"/>
        <w:spacing w:after="120" w:before="240"/>
      </w:pPr>
      <w:r>
        <w:rPr>
          <w:b/>
          <w:bCs/>
          <w:color w:val="6366F1"/>
          <w:sz w:val="26"/>
          <w:szCs w:val="26"/>
        </w:rPr>
        <w:t xml:space="preserve">Notre rôle — 4 verbes</w:t>
      </w:r>
    </w:p>
    <w:p>
      <w:pPr>
        <w:pStyle w:val="ListParagraph"/>
        <w:numPr>
          <w:ilvl w:val="0"/>
          <w:numId w:val="1"/>
        </w:numPr>
        <w:spacing w:after="60"/>
      </w:pPr>
      <w:r>
        <w:rPr>
          <w:b/>
          <w:bCs/>
        </w:rPr>
        <w:t xml:space="preserve">Analyser — </w:t>
      </w:r>
      <w:r>
        <w:t xml:space="preserve">Lire la situation IT au regard des enjeux business du dirigeant, sans jargon ni biais éditeur.</w:t>
      </w:r>
    </w:p>
    <w:p>
      <w:pPr>
        <w:pStyle w:val="ListParagraph"/>
        <w:numPr>
          <w:ilvl w:val="0"/>
          <w:numId w:val="1"/>
        </w:numPr>
        <w:spacing w:after="60"/>
      </w:pPr>
      <w:r>
        <w:rPr>
          <w:b/>
          <w:bCs/>
        </w:rPr>
        <w:t xml:space="preserve">Piloter — </w:t>
      </w:r>
      <w:r>
        <w:t xml:space="preserve">Tenir le cap des chantiers IT (sécurité, conformité, projets) sans se substituer aux équipes opérationnelles.</w:t>
      </w:r>
    </w:p>
    <w:p>
      <w:pPr>
        <w:pStyle w:val="ListParagraph"/>
        <w:numPr>
          <w:ilvl w:val="0"/>
          <w:numId w:val="1"/>
        </w:numPr>
        <w:spacing w:after="60"/>
      </w:pPr>
      <w:r>
        <w:rPr>
          <w:b/>
          <w:bCs/>
        </w:rPr>
        <w:t xml:space="preserve">Arbitrer — </w:t>
      </w:r>
      <w:r>
        <w:t xml:space="preserve">Choisir entre options techniques, contractuelles ou financières sur la base de critères objectifs et tracés.</w:t>
      </w:r>
    </w:p>
    <w:p>
      <w:pPr>
        <w:pStyle w:val="ListParagraph"/>
        <w:numPr>
          <w:ilvl w:val="0"/>
          <w:numId w:val="1"/>
        </w:numPr>
        <w:spacing w:after="60"/>
      </w:pPr>
      <w:r>
        <w:rPr>
          <w:b/>
          <w:bCs/>
        </w:rPr>
        <w:t xml:space="preserve">Restituer — </w:t>
      </w:r>
      <w:r>
        <w:t xml:space="preserve">Rendre compte au dirigeant en langage de décision : décisions à prendre, risques, budgets, jalons.</w:t>
      </w:r>
    </w:p>
    <w:p>
      <w:pPr>
        <w:pStyle w:val="Heading2"/>
        <w:spacing w:after="120" w:before="240"/>
      </w:pPr>
      <w:r>
        <w:rPr>
          <w:b/>
          <w:bCs/>
          <w:color w:val="6366F1"/>
          <w:sz w:val="26"/>
          <w:szCs w:val="26"/>
        </w:rPr>
        <w:t xml:space="preserve">Frontière MOA / MOE</w:t>
      </w:r>
    </w:p>
    <w:p>
      <w:pPr>
        <w:spacing w:after="80"/>
      </w:pPr>
      <w:r>
        <w:rPr>
          <w:b/>
          <w:bCs/>
        </w:rPr>
        <w:t xml:space="preserve">Ce que nous faisons :</w:t>
      </w:r>
    </w:p>
    <w:p>
      <w:pPr>
        <w:pStyle w:val="ListParagraph"/>
        <w:numPr>
          <w:ilvl w:val="0"/>
          <w:numId w:val="1"/>
        </w:numPr>
        <w:spacing w:after="60"/>
      </w:pPr>
      <w:r>
        <w:t xml:space="preserve">Analyse, pilotage, arbitrage, restitution</w:t>
      </w:r>
    </w:p>
    <w:p>
      <w:pPr>
        <w:pStyle w:val="ListParagraph"/>
        <w:numPr>
          <w:ilvl w:val="0"/>
          <w:numId w:val="1"/>
        </w:numPr>
        <w:spacing w:after="60"/>
      </w:pPr>
      <w:r>
        <w:t xml:space="preserve">Cadrage et rédaction de cahiers des charges</w:t>
      </w:r>
    </w:p>
    <w:p>
      <w:pPr>
        <w:pStyle w:val="ListParagraph"/>
        <w:numPr>
          <w:ilvl w:val="0"/>
          <w:numId w:val="1"/>
        </w:numPr>
        <w:spacing w:after="60"/>
      </w:pPr>
      <w:r>
        <w:t xml:space="preserve">Sélection prestataires (RFP, RFI, scoring)</w:t>
      </w:r>
    </w:p>
    <w:p>
      <w:pPr>
        <w:pStyle w:val="ListParagraph"/>
        <w:numPr>
          <w:ilvl w:val="0"/>
          <w:numId w:val="1"/>
        </w:numPr>
        <w:spacing w:after="60"/>
      </w:pPr>
      <w:r>
        <w:t xml:space="preserve">Pilotage de la conformité (RGPD, sécurité, souveraineté)</w:t>
      </w:r>
    </w:p>
    <w:p>
      <w:pPr>
        <w:pStyle w:val="ListParagraph"/>
        <w:numPr>
          <w:ilvl w:val="0"/>
          <w:numId w:val="1"/>
        </w:numPr>
        <w:spacing w:after="60"/>
      </w:pPr>
      <w:r>
        <w:t xml:space="preserve">Gouvernance IT et reporting dirigeant</w:t>
      </w:r>
    </w:p>
    <w:p>
      <w:pPr>
        <w:spacing w:after="80" w:before="120"/>
      </w:pPr>
      <w:r>
        <w:rPr>
          <w:b/>
          <w:bCs/>
        </w:rPr>
        <w:t xml:space="preserve">Ce que nous ne faisons pas :</w:t>
      </w:r>
    </w:p>
    <w:p>
      <w:pPr>
        <w:pStyle w:val="ListParagraph"/>
        <w:numPr>
          <w:ilvl w:val="0"/>
          <w:numId w:val="1"/>
        </w:numPr>
        <w:spacing w:after="60"/>
      </w:pPr>
      <w:r>
        <w:t xml:space="preserve">Mise en œuvre technique (MOE) — déploiements, configurations, intégrations</w:t>
      </w:r>
    </w:p>
    <w:p>
      <w:pPr>
        <w:pStyle w:val="ListParagraph"/>
        <w:numPr>
          <w:ilvl w:val="0"/>
          <w:numId w:val="1"/>
        </w:numPr>
        <w:spacing w:after="60"/>
      </w:pPr>
      <w:r>
        <w:t xml:space="preserve">Tierce maintenance applicative ou infogérance opérationnelle</w:t>
      </w:r>
    </w:p>
    <w:p>
      <w:pPr>
        <w:pStyle w:val="ListParagraph"/>
        <w:numPr>
          <w:ilvl w:val="0"/>
          <w:numId w:val="1"/>
        </w:numPr>
        <w:spacing w:after="60"/>
      </w:pPr>
      <w:r>
        <w:t xml:space="preserve">Hotline utilisateur ou support N1/N2</w:t>
      </w:r>
    </w:p>
    <w:p>
      <w:pPr>
        <w:pStyle w:val="ListParagraph"/>
        <w:numPr>
          <w:ilvl w:val="0"/>
          <w:numId w:val="1"/>
        </w:numPr>
        <w:spacing w:after="60"/>
      </w:pPr>
      <w:r>
        <w:t xml:space="preserve">Revente de licences éditeur (sauf demande explicite, voir CGV art. 7.2)</w:t>
      </w:r>
    </w:p>
    <w:p>
      <w:pPr>
        <w:pStyle w:val="Heading2"/>
        <w:spacing w:after="120" w:before="240"/>
      </w:pPr>
      <w:r>
        <w:rPr>
          <w:b/>
          <w:bCs/>
          <w:color w:val="6366F1"/>
          <w:sz w:val="26"/>
          <w:szCs w:val="26"/>
        </w:rPr>
        <w:t xml:space="preserve">Souveraineté</w:t>
      </w:r>
    </w:p>
    <w:p>
      <w:pPr>
        <w:spacing w:after="200"/>
      </w:pPr>
      <w:r>
        <w:rPr>
          <w:b/>
          <w:bCs/>
        </w:rPr>
        <w:t xml:space="preserve">Ordre de préférence : FR &gt; EU &gt; US. </w:t>
      </w:r>
      <w:r>
        <w:t xml:space="preserve">Préférer les solutions souveraines françaises ou européennes lorsqu'elles couvrent fonctionnellement le besoin. Une solution US n'est retenue que si aucune alternative FR/EU ne couvre le besoin métier ou si le client ancre déjà sa stack chez un éditeur US et que la bascule serait disproportionnée.</w:t>
      </w:r>
    </w:p>
    <w:p>
      <w:pPr>
        <w:pStyle w:val="Heading1"/>
        <w:pageBreakBefore/>
        <w:spacing w:after="160" w:before="320"/>
      </w:pPr>
      <w:r>
        <w:rPr>
          <w:b/>
          <w:bCs/>
          <w:color w:val="6366F1"/>
          <w:sz w:val="36"/>
          <w:szCs w:val="36"/>
        </w:rPr>
        <w:t xml:space="preserve">Annexe B — Méta-analyse IA</w:t>
      </w:r>
    </w:p>
    <w:p>
      <w:r>
        <w:rPr>
          <w:color w:val="475569"/>
        </w:rPr>
        <w:t xml:space="preserve">Analyse générée le </w:t>
      </w:r>
      <w:r>
        <w:rPr>
          <w:b/>
          <w:bCs/>
        </w:rPr>
        <w:t xml:space="preserve">2026-09-06T08:06:17.936Z</w:t>
      </w:r>
      <w:r>
        <w:rPr>
          <w:color w:val="475569"/>
        </w:rPr>
        <w:t xml:space="preserve">  ·  Backend : </w:t>
      </w:r>
      <w:r>
        <w:rPr>
          <w:b/>
          <w:bCs/>
          <w:color w:val="0E5C73"/>
        </w:rPr>
        <w:t xml:space="preserve">sections</w:t>
      </w:r>
      <w:r>
        <w:rPr>
          <w:color w:val="475569"/>
        </w:rPr>
        <w:t xml:space="preserve">  ·  Modèle : </w:t>
      </w:r>
      <w:r>
        <w:rPr>
          <w:b/>
          <w:bCs/>
        </w:rPr>
        <w:t xml:space="preserve">claude-sonnet-4-6</w:t>
      </w:r>
      <w:r>
        <w:rPr>
          <w:color w:val="475569"/>
        </w:rPr>
        <w:t xml:space="preserve">  ·  Durée : </w:t>
      </w:r>
      <w:r>
        <w:rPr>
          <w:b/>
          <w:bCs/>
        </w:rPr>
        <w:t xml:space="preserve">0 ms</w:t>
      </w:r>
      <w:r>
        <w:rPr>
          <w:color w:val="475569"/>
        </w:rPr>
        <w:t xml:space="preserve">  ·  Hash : </w:t>
      </w:r>
      <w:r>
        <w:rPr>
          <w:rFonts w:ascii="Consolas" w:cs="Consolas" w:eastAsia="Consolas" w:hAnsi="Consolas"/>
        </w:rPr>
        <w:t xml:space="preserve"/>
      </w:r>
    </w:p>
    <w:sectPr>
      <w:headerReference w:type="default" r:id="rId7"/>
      <w:headerReference w:type="first" r:id="rId8"/>
      <w:footerReference w:type="default" r:id="rId9"/>
      <w:footerReference w:type="first" r:id="rId10"/>
      <w:pgSz w:w="11906" w:h="16838" w:orient="portrait"/>
      <w:pgMar w:top="1100" w:right="1100" w:bottom="1100" w:left="110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4"/>
        <w:szCs w:val="14"/>
      </w:rPr>
      <w:t xml:space="preserve">Cabinet Démo · SIRET 79109030100015 · 28 Avenue Mal Leclerc et de sa Division, 94380 Bonneuil-sur-Marne</w:t>
    </w:r>
  </w:p>
  <w:p>
    <w:pPr>
      <w:spacing w:before="60"/>
      <w:jc w:val="center"/>
    </w:pPr>
    <w:r>
      <w:rPr>
        <w:color w:val="94A3B8"/>
        <w:sz w:val="14"/>
        <w:szCs w:val="14"/>
      </w:rPr>
      <w:t xml:space="preserve">Page </w:t>
    </w:r>
    <w:r>
      <w:rPr>
        <w:b/>
        <w:bCs/>
        <w:color w:val="6366F1"/>
        <w:sz w:val="14"/>
        <w:szCs w:val="14"/>
      </w:rPr>
      <w:fldChar w:fldCharType="begin"/>
      <w:instrText xml:space="preserve">PAGE</w:instrText>
      <w:fldChar w:fldCharType="separate"/>
      <w:fldChar w:fldCharType="end"/>
    </w:r>
    <w:r>
      <w:rPr>
        <w:color w:val="94A3B8"/>
        <w:sz w:val="14"/>
        <w:szCs w:val="14"/>
      </w:rPr>
      <w:t xml:space="preserve"> / </w:t>
    </w:r>
    <w:r>
      <w:rPr>
        <w:b/>
        <w:bCs/>
        <w:color w:val="6366F1"/>
        <w:sz w:val="14"/>
        <w:szCs w:val="14"/>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Audit-cadrage AC-CABI-2026-001 — TEST_PME Garonne Industries</dc:title>
  <dc:creator>Cabinet Démo</dc:creator>
  <dc:description>Audit-cadrage interne Cabinet Démo pour TEST_PME Garonne Industries</dc:description>
  <cp:lastModifiedBy>Un-named</cp:lastModifiedBy>
  <cp:revision>1</cp:revision>
  <dcterms:created xsi:type="dcterms:W3CDTF">2026-09-06T08:06:17.976Z</dcterms:created>
  <dcterms:modified xsi:type="dcterms:W3CDTF">2026-09-06T08:06:17.976Z</dcterms:modified>
</cp:coreProperties>
</file>

<file path=docProps/custom.xml><?xml version="1.0" encoding="utf-8"?>
<Properties xmlns="http://schemas.openxmlformats.org/officeDocument/2006/custom-properties" xmlns:vt="http://schemas.openxmlformats.org/officeDocument/2006/docPropsVTypes"/>
</file>