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6366F1" w:sz="48" w:space="1"/>
        </w:pBdr>
        <w:spacing w:after="240" w:before="0"/>
      </w:pPr>
      <w:r>
        <w:rPr>
          <w:sz w:val="2"/>
          <w:szCs w:val="2"/>
        </w:rPr>
        <w:t xml:space="preserve"/>
      </w:r>
    </w:p>
    <w:p>
      <w:pPr>
        <w:spacing w:after="200" w:before="80"/>
        <w:jc w:val="center"/>
      </w:pPr>
      <w:r>
        <w:rPr>
          <w:rFonts w:ascii="Georgia" w:cs="Georgia" w:eastAsia="Georgia" w:hAnsi="Georgia"/>
          <w:b/>
          <w:bCs/>
          <w:color w:val="6366F1"/>
          <w:sz w:val="18"/>
          <w:szCs w:val="18"/>
        </w:rPr>
        <w:t xml:space="preserve">DOSSIER DE CADRAGE</w:t>
      </w:r>
    </w:p>
    <w:p>
      <w:pPr>
        <w:spacing w:after="400"/>
        <w:jc w:val="center"/>
      </w:pPr>
      <w:r>
        <w:rPr>
          <w:b/>
          <w:bCs/>
          <w:color w:val="6366F1"/>
          <w:sz w:val="44"/>
          <w:szCs w:val="44"/>
        </w:rPr>
        <w:t xml:space="preserve">Cabinet Démo</w:t>
      </w:r>
    </w:p>
    <w:p>
      <w:pPr>
        <w:pBdr>
          <w:bottom w:val="single" w:color="6366F1" w:sz="16" w:space="8"/>
        </w:pBdr>
        <w:spacing w:after="100" w:before="600"/>
        <w:jc w:val="center"/>
      </w:pPr>
      <w:r>
        <w:rPr>
          <w:rFonts w:ascii="Georgia" w:cs="Georgia" w:eastAsia="Georgia" w:hAnsi="Georgia"/>
          <w:b/>
          <w:bCs/>
          <w:color w:val="0F172A"/>
          <w:sz w:val="56"/>
          <w:szCs w:val="56"/>
        </w:rPr>
        <w:t xml:space="preserve">DOSSIER DE CADRAGE INTERNE</w:t>
      </w:r>
    </w:p>
    <w:p>
      <w:pPr>
        <w:spacing w:after="600"/>
        <w:jc w:val="center"/>
      </w:pPr>
      <w:r>
        <w:rPr>
          <w:i/>
          <w:iCs/>
          <w:color w:val="666666"/>
          <w:sz w:val="28"/>
          <w:szCs w:val="28"/>
        </w:rPr>
        <w:t xml:space="preserve">État de connaissance — préparation mission DSI temps partagé</w:t>
      </w:r>
    </w:p>
    <w:p>
      <w:pPr>
        <w:spacing w:after="80"/>
        <w:jc w:val="center"/>
      </w:pPr>
      <w:r>
        <w:rPr>
          <w:b/>
          <w:bCs/>
          <w:sz w:val="36"/>
          <w:szCs w:val="36"/>
        </w:rPr>
        <w:t xml:space="preserve">TEST_PME Garonne Industries</w:t>
      </w:r>
    </w:p>
    <w:p>
      <w:pPr>
        <w:jc w:val="center"/>
      </w:pPr>
      <w:r>
        <w:rPr>
          <w:i/>
          <w:iCs/>
          <w:color w:val="666666"/>
          <w:sz w:val="22"/>
          <w:szCs w:val="22"/>
        </w:rPr>
        <w:t xml:space="preserve">Industrie / Manufacturing · 100-200</w:t>
      </w:r>
    </w:p>
    <w:p>
      <w:pPr>
        <w:spacing w:after="80" w:before="400"/>
        <w:jc w:val="center"/>
      </w:pPr>
      <w:r>
        <w:rPr>
          <w:color w:val="666666"/>
        </w:rPr>
        <w:t xml:space="preserve">Référence : </w:t>
      </w:r>
      <w:r>
        <w:rPr>
          <w:rFonts w:ascii="Consolas" w:cs="Consolas" w:eastAsia="Consolas" w:hAnsi="Consolas"/>
          <w:b/>
          <w:bCs/>
        </w:rPr>
        <w:t xml:space="preserve">AC-CABI-2026-001</w:t>
      </w:r>
      <w:r>
        <w:rPr>
          <w:color w:val="666666"/>
        </w:rPr>
        <w:t xml:space="preserve">    ·    </w:t>
      </w:r>
      <w:r>
        <w:rPr>
          <w:color w:val="666666"/>
        </w:rPr>
        <w:t xml:space="preserve">Date : </w:t>
      </w:r>
      <w:r>
        <w:t xml:space="preserve">22 octobre 2026</w:t>
      </w:r>
    </w:p>
    <w:p>
      <w:pPr>
        <w:spacing w:after="60" w:before="800"/>
        <w:jc w:val="center"/>
      </w:pPr>
      <w:r>
        <w:rPr>
          <w:b/>
          <w:bCs/>
        </w:rPr>
        <w:t xml:space="preserve">Consultant Démo</w:t>
      </w:r>
      <w:r>
        <w:rPr>
          <w:color w:val="666666"/>
        </w:rPr>
        <w:t xml:space="preserve"> — DSI à temps partagé</w:t>
      </w:r>
    </w:p>
    <w:p>
      <w:pPr>
        <w:jc w:val="center"/>
      </w:pPr>
      <w:r>
        <w:rPr>
          <w:color w:val="666666"/>
          <w:sz w:val="18"/>
          <w:szCs w:val="18"/>
        </w:rPr>
        <w:t xml:space="preserve">demo@mondsi.app · </w:t>
      </w:r>
    </w:p>
    <w:p>
      <w:r>
        <w:br w:type="page"/>
      </w:r>
    </w:p>
    <w:p>
      <w:pPr>
        <w:pStyle w:val="Heading1"/>
        <w:spacing w:after="160" w:before="320"/>
      </w:pPr>
      <w:r>
        <w:rPr>
          <w:b/>
          <w:bCs/>
          <w:color w:val="6366F1"/>
          <w:sz w:val="36"/>
          <w:szCs w:val="36"/>
        </w:rPr>
        <w:t xml:space="preserve">2. Synthèse exécutive</w:t>
      </w:r>
    </w:p>
    <w:p>
      <w:pPr>
        <w:spacing w:after="120"/>
      </w:pPr>
      <w:r>
        <w:rPr>
          <w:b/>
          <w:bCs/>
        </w:rPr>
        <w:t xml:space="preserve">Garonne Industries présente un niveau d'exposition cyber et réglementaire critique, peu compatible avec ses ambitions de croissance externe et de transformation digitale.</w:t>
      </w:r>
      <w:r>
        <w:t xml:space="preserve"> Les six diagnostics convergent : le socle de sécurité (identité, postes, sauvegarde, continuité) n'est qu'à moitié construit, et aucun dispositif de gouvernance ne permet de piloter ces risques ni de démontrer une diligence raisonnable. Les scores (38/100 en diagnostic express, 40/100 en Zero Trust, 52/100 en Modern Workplace, 66,7/100 en diagnostic avancé, aucune réponse positive en gestion des risques) dessinent une entreprise qui a investi ponctuellement dans des outils, sans architecture cible ni pilotage.</w:t>
      </w:r>
    </w:p>
    <w:p>
      <w:pPr>
        <w:spacing w:after="120"/>
      </w:pPr>
      <w:r>
        <w:rPr>
          <w:b/>
          <w:bCs/>
        </w:rPr>
        <w:t xml:space="preserve">Le scénario ransomware est le risque n°1, et il est aujourd'hui pleinement ouvert.</w:t>
      </w:r>
      <w:r>
        <w:t xml:space="preserve"> Plusieurs constats indépendants concordent. La MFA est absente sur la messagerie et les accès distants (Q03, ZT02). Les comptes du quotidien ont des droits administrateur (Q23, A20). Des protocoles obsolètes restent actifs (A50) et la segmentation entre bureautique et atelier n'est que partielle (A47). Les postes ne sont ni gérés ni patchés sous 30 jours (MW11, MW15). La sauvegarde 3-2-1 n'est pas vérifiée (MW23) et aucun PRA ne couvre ce scénario (Q08, A43). Dans un contexte industriel où l'arrêt des lignes de production se chiffre en jours de chiffre d'affaires, cette combinaison constitue une menace directe pour la continuité d'activité.</w:t>
      </w:r>
    </w:p>
    <w:p>
      <w:pPr>
        <w:spacing w:after="120"/>
      </w:pPr>
      <w:r>
        <w:rPr>
          <w:b/>
          <w:bCs/>
        </w:rPr>
        <w:t xml:space="preserve">La conformité réglementaire est indémontrable en l'état.</w:t>
      </w:r>
      <w:r>
        <w:t xml:space="preserve"> Côté RGPD, il n'y a ni registre des traitements tenu (RGPD03), ni procédure de gestion des droits (RGPD07), et les DPA sous-traitants sont incomplets (RGPD13, A59). Côté NIS2, l'exposition n'est que partiellement évaluée (Q19), alors que le profil déclaré est celui d'une entité essentielle. Ce statut doit être confirmé, car une ETI manufacturière de 100-149 salariés relève plus souvent du statut d'entité importante, ce qui modifie le régime de contrôle. S'y ajoutent l'échéance de réception des factures électroniques en septembre 2026, non anticipée (Q18), et les exigences cyber du futur règlement Machines, qui concerneront la conception et l'intégration des équipements.</w:t>
      </w:r>
    </w:p>
    <w:p>
      <w:pPr>
        <w:spacing w:after="120"/>
      </w:pPr>
      <w:r>
        <w:rPr>
          <w:b/>
          <w:bCs/>
        </w:rPr>
        <w:t xml:space="preserve">La cause racine est la gouvernance.</w:t>
      </w:r>
      <w:r>
        <w:t xml:space="preserve"> Il n'y a pas de pilote SI mandaté (Q01), pas de comité IT avec la DG (A02), pas de politique risques validée par la direction (RISK01) et pas de KRI (RISK10). Sans ce socle, chaque projet digital et chaque acquisition ajoute de la dette et des comptes orphelins au lieu de s'intégrer dans une trajectoire maîtrisée. Le message clé pour la direction est le suivant : </w:t>
      </w:r>
      <w:r>
        <w:rPr>
          <w:b/>
          <w:bCs/>
        </w:rPr>
        <w:t xml:space="preserve">il faut fermer les portes d'entrée cyber dans les 30 jours, structurer la gouvernance en parallèle, puis bâtir la conformité démontrable à 90 jours, avant toute opération de croissance externe.</w:t>
      </w:r>
    </w:p>
    <w:p>
      <w:pPr>
        <w:spacing w:after="120"/>
      </w:pPr>
      <w:r>
        <w:rPr>
          <w:i/>
          <w:iCs/>
        </w:rPr>
        <w:t xml:space="preserve">Point de vigilance méthodologique :</w:t>
      </w:r>
      <w:r>
        <w:t xml:space="preserve"> le score RGPD affiché (3,5/100) paraît incohérent avec le décompte des réponses (8 signaux négatifs sur 16). Il devra être recalculé avant restitution, sans que cela change le diagnostic de fond.</w:t>
      </w:r>
    </w:p>
    <w:p>
      <w:pPr>
        <w:pStyle w:val="Heading1"/>
        <w:pageBreakBefore/>
        <w:spacing w:after="160" w:before="320"/>
      </w:pPr>
      <w:r>
        <w:rPr>
          <w:b/>
          <w:bCs/>
          <w:color w:val="6366F1"/>
          <w:sz w:val="36"/>
          <w:szCs w:val="36"/>
        </w:rPr>
        <w:t xml:space="preserve">3. Profil client &amp; enjeux</w:t>
      </w:r>
    </w:p>
    <w:tbl>
      <w:tblPr>
        <w:tblW w:type="pct" w:w="100%"/>
        <w:tblBorders>
          <w:top w:val="single" w:color="E2E8F0" w:sz="4"/>
          <w:left w:val="single" w:color="E2E8F0" w:sz="4"/>
          <w:bottom w:val="single" w:color="E2E8F0" w:sz="4"/>
          <w:right w:val="single" w:color="E2E8F0" w:sz="4"/>
          <w:insideH w:val="single" w:color="E2E8F0" w:sz="2"/>
          <w:insideV w:val="single" w:color="E2E8F0" w:sz="2"/>
        </w:tblBorders>
      </w:tblPr>
      <w:tblGrid>
        <w:gridCol w:w="100"/>
        <w:gridCol w:w="100"/>
      </w:tblGrid>
      <w:tr>
        <w:tc>
          <w:tcPr>
            <w:tcW w:type="pct" w:w="32%"/>
            <w:shd w:fill="F8FAFC"/>
          </w:tcPr>
          <w:p>
            <w:r>
              <w:rPr>
                <w:b/>
                <w:bCs/>
                <w:color w:val="6366F1"/>
              </w:rPr>
              <w:t xml:space="preserve">Nom</w:t>
            </w:r>
          </w:p>
        </w:tc>
        <w:tc>
          <w:tcPr>
            <w:tcW w:type="pct" w:w="68%"/>
          </w:tcPr>
          <w:p>
            <w:r>
              <w:t xml:space="preserve">TEST_PME Garonne Industries</w:t>
            </w:r>
          </w:p>
        </w:tc>
      </w:tr>
      <w:tr>
        <w:tc>
          <w:tcPr>
            <w:tcW w:type="pct" w:w="32%"/>
            <w:shd w:fill="F8FAFC"/>
          </w:tcPr>
          <w:p>
            <w:r>
              <w:rPr>
                <w:b/>
                <w:bCs/>
                <w:color w:val="6366F1"/>
              </w:rPr>
              <w:t xml:space="preserve">Secteur</w:t>
            </w:r>
          </w:p>
        </w:tc>
        <w:tc>
          <w:tcPr>
            <w:tcW w:type="pct" w:w="68%"/>
          </w:tcPr>
          <w:p>
            <w:r>
              <w:t xml:space="preserve">Industrie / Manufacturing</w:t>
            </w:r>
          </w:p>
        </w:tc>
      </w:tr>
      <w:tr>
        <w:tc>
          <w:tcPr>
            <w:tcW w:type="pct" w:w="32%"/>
            <w:shd w:fill="F8FAFC"/>
          </w:tcPr>
          <w:p>
            <w:r>
              <w:rPr>
                <w:b/>
                <w:bCs/>
                <w:color w:val="6366F1"/>
              </w:rPr>
              <w:t xml:space="preserve">Effectif</w:t>
            </w:r>
          </w:p>
        </w:tc>
        <w:tc>
          <w:tcPr>
            <w:tcW w:type="pct" w:w="68%"/>
          </w:tcPr>
          <w:p>
            <w:r>
              <w:t xml:space="preserve">100-200</w:t>
            </w:r>
          </w:p>
        </w:tc>
      </w:tr>
      <w:tr>
        <w:tc>
          <w:tcPr>
            <w:tcW w:type="pct" w:w="32%"/>
            <w:shd w:fill="F8FAFC"/>
          </w:tcPr>
          <w:p>
            <w:r>
              <w:rPr>
                <w:b/>
                <w:bCs/>
                <w:color w:val="6366F1"/>
              </w:rPr>
              <w:t xml:space="preserve">Dirigeant principal</w:t>
            </w:r>
          </w:p>
        </w:tc>
        <w:tc>
          <w:tcPr>
            <w:tcW w:type="pct" w:w="68%"/>
          </w:tcPr>
          <w:p>
            <w:r>
              <w:t xml:space="preserve">Contact test (fictif)</w:t>
            </w:r>
          </w:p>
        </w:tc>
      </w:tr>
    </w:tbl>
    <w:p>
      <w:pPr>
        <w:pStyle w:val="Heading3"/>
        <w:spacing w:after="80" w:before="200"/>
      </w:pPr>
      <w:r>
        <w:rPr>
          <w:b/>
          <w:bCs/>
          <w:sz w:val="22"/>
          <w:szCs w:val="22"/>
        </w:rPr>
        <w:t xml:space="preserve">Enjeux business</w:t>
      </w:r>
    </w:p>
    <w:p>
      <w:pPr>
        <w:pStyle w:val="ListParagraph"/>
        <w:numPr>
          <w:ilvl w:val="0"/>
          <w:numId w:val="1"/>
        </w:numPr>
        <w:spacing w:after="60"/>
      </w:pPr>
      <w:r>
        <w:t xml:space="preserve">conformite-reglementaire</w:t>
      </w:r>
    </w:p>
    <w:p>
      <w:pPr>
        <w:pStyle w:val="ListParagraph"/>
        <w:numPr>
          <w:ilvl w:val="0"/>
          <w:numId w:val="1"/>
        </w:numPr>
        <w:spacing w:after="60"/>
      </w:pPr>
      <w:r>
        <w:t xml:space="preserve">cybersecurite</w:t>
      </w:r>
    </w:p>
    <w:p>
      <w:pPr>
        <w:pStyle w:val="ListParagraph"/>
        <w:numPr>
          <w:ilvl w:val="0"/>
          <w:numId w:val="1"/>
        </w:numPr>
        <w:spacing w:after="60"/>
      </w:pPr>
      <w:r>
        <w:t xml:space="preserve">transformation-digitale</w:t>
      </w:r>
    </w:p>
    <w:p>
      <w:pPr>
        <w:pStyle w:val="ListParagraph"/>
        <w:numPr>
          <w:ilvl w:val="0"/>
          <w:numId w:val="1"/>
        </w:numPr>
        <w:spacing w:after="60"/>
      </w:pPr>
      <w:r>
        <w:t xml:space="preserve">croissance-externe</w:t>
      </w:r>
    </w:p>
    <w:p>
      <w:pPr>
        <w:pStyle w:val="Heading3"/>
        <w:spacing w:after="80" w:before="200"/>
      </w:pPr>
      <w:r>
        <w:rPr>
          <w:b/>
          <w:bCs/>
          <w:sz w:val="22"/>
          <w:szCs w:val="22"/>
        </w:rPr>
        <w:t xml:space="preserve">Sujets IT identifiés</w:t>
      </w:r>
    </w:p>
    <w:p>
      <w:pPr>
        <w:pStyle w:val="ListParagraph"/>
        <w:numPr>
          <w:ilvl w:val="0"/>
          <w:numId w:val="1"/>
        </w:numPr>
        <w:spacing w:after="60"/>
      </w:pPr>
      <w:r>
        <w:t xml:space="preserve">m365</w:t>
      </w:r>
    </w:p>
    <w:p>
      <w:pPr>
        <w:pStyle w:val="ListParagraph"/>
        <w:numPr>
          <w:ilvl w:val="0"/>
          <w:numId w:val="1"/>
        </w:numPr>
        <w:spacing w:after="60"/>
      </w:pPr>
      <w:r>
        <w:t xml:space="preserve">securite</w:t>
      </w:r>
    </w:p>
    <w:p>
      <w:pPr>
        <w:pStyle w:val="ListParagraph"/>
        <w:numPr>
          <w:ilvl w:val="0"/>
          <w:numId w:val="1"/>
        </w:numPr>
        <w:spacing w:after="60"/>
      </w:pPr>
      <w:r>
        <w:t xml:space="preserve">rgpd</w:t>
      </w:r>
    </w:p>
    <w:p>
      <w:pPr>
        <w:pStyle w:val="ListParagraph"/>
        <w:numPr>
          <w:ilvl w:val="0"/>
          <w:numId w:val="1"/>
        </w:numPr>
        <w:spacing w:after="60"/>
      </w:pPr>
      <w:r>
        <w:t xml:space="preserve">erp</w:t>
      </w:r>
    </w:p>
    <w:p>
      <w:pPr>
        <w:pStyle w:val="ListParagraph"/>
        <w:numPr>
          <w:ilvl w:val="0"/>
          <w:numId w:val="1"/>
        </w:numPr>
        <w:spacing w:after="60"/>
      </w:pPr>
      <w:r>
        <w:t xml:space="preserve">sauvegarde</w:t>
      </w:r>
    </w:p>
    <w:p>
      <w:pPr>
        <w:pStyle w:val="ListParagraph"/>
        <w:numPr>
          <w:ilvl w:val="0"/>
          <w:numId w:val="1"/>
        </w:numPr>
        <w:spacing w:after="60"/>
      </w:pPr>
      <w:r>
        <w:t xml:space="preserve">reseau</w:t>
      </w:r>
    </w:p>
    <w:p>
      <w:pPr>
        <w:pStyle w:val="Heading3"/>
        <w:spacing w:after="80" w:before="200"/>
      </w:pPr>
      <w:r>
        <w:rPr>
          <w:b/>
          <w:bCs/>
          <w:sz w:val="22"/>
          <w:szCs w:val="22"/>
        </w:rPr>
        <w:t xml:space="preserve">Cadre réglementaire applicable</w:t>
      </w:r>
    </w:p>
    <w:p>
      <w:pPr>
        <w:pStyle w:val="ListParagraph"/>
        <w:numPr>
          <w:ilvl w:val="0"/>
          <w:numId w:val="1"/>
        </w:numPr>
        <w:spacing w:after="60"/>
      </w:pPr>
      <w:r>
        <w:t xml:space="preserve">nis2-essentielle</w:t>
      </w:r>
    </w:p>
    <w:p>
      <w:pPr>
        <w:pStyle w:val="ListParagraph"/>
        <w:numPr>
          <w:ilvl w:val="0"/>
          <w:numId w:val="1"/>
        </w:numPr>
        <w:spacing w:after="60"/>
      </w:pPr>
      <w:r>
        <w:t xml:space="preserve">rgpd-strict</w:t>
      </w:r>
    </w:p>
    <w:p>
      <w:pPr>
        <w:pStyle w:val="ListParagraph"/>
        <w:numPr>
          <w:ilvl w:val="0"/>
          <w:numId w:val="1"/>
        </w:numPr>
        <w:spacing w:after="60"/>
      </w:pPr>
      <w:r>
        <w:t xml:space="preserve">machine-directive</w:t>
      </w:r>
    </w:p>
    <w:p>
      <w:pPr>
        <w:pStyle w:val="Heading1"/>
        <w:pageBreakBefore/>
        <w:spacing w:after="160" w:before="320"/>
      </w:pPr>
      <w:r>
        <w:rPr>
          <w:b/>
          <w:bCs/>
          <w:color w:val="6366F1"/>
          <w:sz w:val="36"/>
          <w:szCs w:val="36"/>
        </w:rPr>
        <w:t xml:space="preserve">4. Couverture des diagnostics &amp; KPI</w:t>
      </w:r>
    </w:p>
    <w:p>
      <w:pPr>
        <w:spacing w:after="120"/>
      </w:pPr>
      <w:r>
        <w:rPr>
          <w:i/>
          <w:iCs/>
          <w:color w:val="475569"/>
        </w:rPr>
        <w:t xml:space="preserve">Vue synthétique de la couverture des diagnostics. Un diagnostic est considéré comme « couvert » à partir de 5 réponses saisies.</w:t>
      </w:r>
    </w:p>
    <w:tbl>
      <w:tblPr>
        <w:tblW w:type="pct" w:w="100%"/>
        <w:tblBorders>
          <w:top w:val="single" w:color="CCCCCC" w:sz="4"/>
          <w:left w:val="single" w:color="CCCCCC" w:sz="4"/>
          <w:bottom w:val="single" w:color="CCCCCC" w:sz="4"/>
          <w:right w:val="single" w:color="CCCCCC" w:sz="4"/>
          <w:insideH w:val="single" w:color="E5E7EB" w:sz="2"/>
          <w:insideV w:val="single" w:color="E5E7EB" w:sz="2"/>
        </w:tblBorders>
      </w:tblPr>
      <w:tblGrid>
        <w:gridCol w:w="100"/>
        <w:gridCol w:w="100"/>
        <w:gridCol w:w="100"/>
        <w:gridCol w:w="100"/>
        <w:gridCol w:w="100"/>
        <w:gridCol w:w="100"/>
        <w:gridCol w:w="100"/>
      </w:tblGrid>
      <w:tr>
        <w:trPr>
          <w:tblHeader/>
        </w:trPr>
        <w:tc>
          <w:tcPr>
            <w:shd w:fill="EEF2FF"/>
          </w:tcPr>
          <w:p>
            <w:r>
              <w:rPr>
                <w:b/>
                <w:bCs/>
                <w:color w:val="6366F1"/>
              </w:rPr>
              <w:t xml:space="preserve">Diagnostic</w:t>
            </w:r>
          </w:p>
        </w:tc>
        <w:tc>
          <w:tcPr>
            <w:shd w:fill="EEF2FF"/>
          </w:tcPr>
          <w:p>
            <w:r>
              <w:rPr>
                <w:b/>
                <w:bCs/>
                <w:color w:val="6366F1"/>
              </w:rPr>
              <w:t xml:space="preserve">Statut</w:t>
            </w:r>
          </w:p>
        </w:tc>
        <w:tc>
          <w:tcPr>
            <w:shd w:fill="EEF2FF"/>
          </w:tcPr>
          <w:p>
            <w:r>
              <w:rPr>
                <w:b/>
                <w:bCs/>
                <w:color w:val="6366F1"/>
              </w:rPr>
              <w:t xml:space="preserve">Réponses</w:t>
            </w:r>
          </w:p>
        </w:tc>
        <w:tc>
          <w:tcPr>
            <w:shd w:fill="EEF2FF"/>
          </w:tcPr>
          <w:p>
            <w:r>
              <w:rPr>
                <w:b/>
                <w:bCs/>
                <w:color w:val="6366F1"/>
              </w:rPr>
              <w:t xml:space="preserve">Score moyen</w:t>
            </w:r>
          </w:p>
        </w:tc>
        <w:tc>
          <w:tcPr>
            <w:shd w:fill="EEF2FF"/>
          </w:tcPr>
          <w:p>
            <w:r>
              <w:rPr>
                <w:b/>
                <w:bCs/>
                <w:color w:val="6366F1"/>
              </w:rPr>
              <w:t xml:space="preserve">Partiel / Non</w:t>
            </w:r>
          </w:p>
        </w:tc>
        <w:tc>
          <w:tcPr>
            <w:shd w:fill="EEF2FF"/>
          </w:tcPr>
          <w:p>
            <w:r>
              <w:rPr>
                <w:b/>
                <w:bCs/>
                <w:color w:val="6366F1"/>
              </w:rPr>
              <w:t xml:space="preserve">NSP</w:t>
            </w:r>
          </w:p>
        </w:tc>
        <w:tc>
          <w:tcPr>
            <w:shd w:fill="EEF2FF"/>
          </w:tcPr>
          <w:p>
            <w:r>
              <w:rPr>
                <w:b/>
                <w:bCs/>
                <w:color w:val="6366F1"/>
              </w:rPr>
              <w:t xml:space="preserve">Commentaires</w:t>
            </w:r>
          </w:p>
        </w:tc>
      </w:tr>
      <w:tr>
        <w:tc>
          <w:p>
            <w:r>
              <w:rPr>
                <w:b/>
                <w:bCs/>
              </w:rPr>
              <w:t xml:space="preserve">Diag IT N1</w:t>
            </w:r>
          </w:p>
        </w:tc>
        <w:tc>
          <w:p>
            <w:r>
              <w:rPr>
                <w:b/>
                <w:bCs/>
                <w:color w:val="6366F1"/>
              </w:rPr>
              <w:t xml:space="preserve">Couvert</w:t>
            </w:r>
          </w:p>
        </w:tc>
        <w:tc>
          <w:p>
            <w:r>
              <w:t xml:space="preserve">26</w:t>
            </w:r>
          </w:p>
        </w:tc>
        <w:tc>
          <w:p>
            <w:r>
              <w:t xml:space="preserve">60/100</w:t>
            </w:r>
          </w:p>
        </w:tc>
        <w:tc>
          <w:p>
            <w:r>
              <w:t xml:space="preserve">11 / 5</w:t>
            </w:r>
          </w:p>
        </w:tc>
        <w:tc>
          <w:p>
            <w:r>
              <w:rPr>
                <w:b w:val="false"/>
                <w:bCs w:val="false"/>
              </w:rPr>
              <w:t xml:space="preserve">0</w:t>
            </w:r>
          </w:p>
        </w:tc>
        <w:tc>
          <w:p>
            <w:r>
              <w:t xml:space="preserve">0</w:t>
            </w:r>
          </w:p>
        </w:tc>
      </w:tr>
      <w:tr>
        <w:tc>
          <w:p>
            <w:r>
              <w:rPr>
                <w:b/>
                <w:bCs/>
              </w:rPr>
              <w:t xml:space="preserve">Diag IT N2</w:t>
            </w:r>
          </w:p>
        </w:tc>
        <w:tc>
          <w:p>
            <w:r>
              <w:rPr>
                <w:b/>
                <w:bCs/>
                <w:color w:val="6366F1"/>
              </w:rPr>
              <w:t xml:space="preserve">Couvert</w:t>
            </w:r>
          </w:p>
        </w:tc>
        <w:tc>
          <w:p>
            <w:r>
              <w:t xml:space="preserve">60</w:t>
            </w:r>
          </w:p>
        </w:tc>
        <w:tc>
          <w:p>
            <w:r>
              <w:t xml:space="preserve">67/100</w:t>
            </w:r>
          </w:p>
        </w:tc>
        <w:tc>
          <w:p>
            <w:r>
              <w:t xml:space="preserve">20 / 10</w:t>
            </w:r>
          </w:p>
        </w:tc>
        <w:tc>
          <w:p>
            <w:r>
              <w:rPr>
                <w:b w:val="false"/>
                <w:bCs w:val="false"/>
              </w:rPr>
              <w:t xml:space="preserve">0</w:t>
            </w:r>
          </w:p>
        </w:tc>
        <w:tc>
          <w:p>
            <w:r>
              <w:t xml:space="preserve">0</w:t>
            </w:r>
          </w:p>
        </w:tc>
      </w:tr>
      <w:tr>
        <w:tc>
          <w:p>
            <w:r>
              <w:rPr>
                <w:b/>
                <w:bCs/>
              </w:rPr>
              <w:t xml:space="preserve">Modern Workplace</w:t>
            </w:r>
          </w:p>
        </w:tc>
        <w:tc>
          <w:p>
            <w:r>
              <w:rPr>
                <w:b/>
                <w:bCs/>
                <w:color w:val="6366F1"/>
              </w:rPr>
              <w:t xml:space="preserve">Couvert</w:t>
            </w:r>
          </w:p>
        </w:tc>
        <w:tc>
          <w:p>
            <w:r>
              <w:t xml:space="preserve">25</w:t>
            </w:r>
          </w:p>
        </w:tc>
        <w:tc>
          <w:p>
            <w:r>
              <w:t xml:space="preserve">64/100</w:t>
            </w:r>
          </w:p>
        </w:tc>
        <w:tc>
          <w:p>
            <w:r>
              <w:t xml:space="preserve">6 / 6</w:t>
            </w:r>
          </w:p>
        </w:tc>
        <w:tc>
          <w:p>
            <w:r>
              <w:rPr>
                <w:b w:val="false"/>
                <w:bCs w:val="false"/>
              </w:rPr>
              <w:t xml:space="preserve">0</w:t>
            </w:r>
          </w:p>
        </w:tc>
        <w:tc>
          <w:p>
            <w:r>
              <w:t xml:space="preserve">0</w:t>
            </w:r>
          </w:p>
        </w:tc>
      </w:tr>
      <w:tr>
        <w:tc>
          <w:p>
            <w:r>
              <w:rPr>
                <w:b/>
                <w:bCs/>
              </w:rPr>
              <w:t xml:space="preserve">Zero Trust</w:t>
            </w:r>
          </w:p>
        </w:tc>
        <w:tc>
          <w:p>
            <w:r>
              <w:rPr>
                <w:b/>
                <w:bCs/>
                <w:color w:val="6366F1"/>
              </w:rPr>
              <w:t xml:space="preserve">Couvert</w:t>
            </w:r>
          </w:p>
        </w:tc>
        <w:tc>
          <w:p>
            <w:r>
              <w:t xml:space="preserve">15</w:t>
            </w:r>
          </w:p>
        </w:tc>
        <w:tc>
          <w:p>
            <w:r>
              <w:t xml:space="preserve">40/100</w:t>
            </w:r>
          </w:p>
        </w:tc>
        <w:tc>
          <w:p>
            <w:r>
              <w:t xml:space="preserve">6 / 6</w:t>
            </w:r>
          </w:p>
        </w:tc>
        <w:tc>
          <w:p>
            <w:r>
              <w:rPr>
                <w:b w:val="false"/>
                <w:bCs w:val="false"/>
              </w:rPr>
              <w:t xml:space="preserve">0</w:t>
            </w:r>
          </w:p>
        </w:tc>
        <w:tc>
          <w:p>
            <w:r>
              <w:t xml:space="preserve">0</w:t>
            </w:r>
          </w:p>
        </w:tc>
      </w:tr>
      <w:tr>
        <w:tc>
          <w:p>
            <w:r>
              <w:rPr>
                <w:b/>
                <w:bCs/>
              </w:rPr>
              <w:t xml:space="preserve">IA &amp; Automatisations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Entretien dirigeant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France Num</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PCA/PRA</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Adoption ADKAR</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Zachman SI</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RGPD</w:t>
            </w:r>
          </w:p>
        </w:tc>
        <w:tc>
          <w:p>
            <w:r>
              <w:rPr>
                <w:b/>
                <w:bCs/>
                <w:color w:val="6366F1"/>
              </w:rPr>
              <w:t xml:space="preserve">Couvert</w:t>
            </w:r>
          </w:p>
        </w:tc>
        <w:tc>
          <w:p>
            <w:r>
              <w:t xml:space="preserve">16</w:t>
            </w:r>
          </w:p>
        </w:tc>
        <w:tc>
          <w:p>
            <w:r>
              <w:t xml:space="preserve">63/100</w:t>
            </w:r>
          </w:p>
        </w:tc>
        <w:tc>
          <w:p>
            <w:r>
              <w:t xml:space="preserve">4 / 4</w:t>
            </w:r>
          </w:p>
        </w:tc>
        <w:tc>
          <w:p>
            <w:r>
              <w:rPr>
                <w:b w:val="false"/>
                <w:bCs w:val="false"/>
              </w:rPr>
              <w:t xml:space="preserve">0</w:t>
            </w:r>
          </w:p>
        </w:tc>
        <w:tc>
          <w:p>
            <w:r>
              <w:t xml:space="preserve">0</w:t>
            </w:r>
          </w:p>
        </w:tc>
      </w:tr>
      <w:tr>
        <w:tc>
          <w:p>
            <w:r>
              <w:rPr>
                <w:b/>
                <w:bCs/>
              </w:rPr>
              <w:t xml:space="preserve">Gestion risques</w:t>
            </w:r>
          </w:p>
        </w:tc>
        <w:tc>
          <w:p>
            <w:r>
              <w:rPr>
                <w:b/>
                <w:bCs/>
                <w:color w:val="6366F1"/>
              </w:rPr>
              <w:t xml:space="preserve">Couvert</w:t>
            </w:r>
          </w:p>
        </w:tc>
        <w:tc>
          <w:p>
            <w:r>
              <w:t xml:space="preserve">12</w:t>
            </w:r>
          </w:p>
        </w:tc>
        <w:tc>
          <w:p>
            <w:r>
              <w:t xml:space="preserve">33/100</w:t>
            </w:r>
          </w:p>
        </w:tc>
        <w:tc>
          <w:p>
            <w:r>
              <w:t xml:space="preserve">8 / 4</w:t>
            </w:r>
          </w:p>
        </w:tc>
        <w:tc>
          <w:p>
            <w:r>
              <w:rPr>
                <w:b w:val="false"/>
                <w:bCs w:val="false"/>
              </w:rPr>
              <w:t xml:space="preserve">0</w:t>
            </w:r>
          </w:p>
        </w:tc>
        <w:tc>
          <w:p>
            <w:r>
              <w:t xml:space="preserve">0</w:t>
            </w:r>
          </w:p>
        </w:tc>
      </w:tr>
      <w:tr>
        <w:tc>
          <w:p>
            <w:r>
              <w:rPr>
                <w:b/>
                <w:bCs/>
              </w:rPr>
              <w:t xml:space="preserve">Gouvernance IT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Parc IT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Exploitation et support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Applications et données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Réseau et infrastructure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Architecture et dette technique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Conduite de projet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Reprise de projet</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Reprise de projet, 6 phrases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Sensibilisation</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Google Workspace</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r>
        <w:tc>
          <w:p>
            <w:r>
              <w:rPr>
                <w:b/>
                <w:bCs/>
              </w:rPr>
              <w:t xml:space="preserve">FinOps</w:t>
            </w:r>
          </w:p>
        </w:tc>
        <w:tc>
          <w:p>
            <w:r>
              <w:rPr>
                <w:b w:val="false"/>
                <w:bCs w:val="false"/>
                <w:color w:val="94A3B8"/>
              </w:rPr>
              <w:t xml:space="preserve">Non démarré</w:t>
            </w:r>
          </w:p>
        </w:tc>
        <w:tc>
          <w:p>
            <w:r>
              <w:t xml:space="preserve">0</w:t>
            </w:r>
          </w:p>
        </w:tc>
        <w:tc>
          <w:p>
            <w:r>
              <w:t xml:space="preserve">—</w:t>
            </w:r>
          </w:p>
        </w:tc>
        <w:tc>
          <w:p>
            <w:r>
              <w:t xml:space="preserve">0 / 0</w:t>
            </w:r>
          </w:p>
        </w:tc>
        <w:tc>
          <w:p>
            <w:r>
              <w:rPr>
                <w:b w:val="false"/>
                <w:bCs w:val="false"/>
              </w:rPr>
              <w:t xml:space="preserve">0</w:t>
            </w:r>
          </w:p>
        </w:tc>
        <w:tc>
          <w:p>
            <w:r>
              <w:t xml:space="preserve">0</w:t>
            </w:r>
          </w:p>
        </w:tc>
      </w:tr>
    </w:tbl>
    <w:p>
      <w:pPr>
        <w:pStyle w:val="Heading3"/>
        <w:spacing w:after="80" w:before="200"/>
      </w:pPr>
      <w:r>
        <w:rPr>
          <w:b/>
          <w:bCs/>
          <w:sz w:val="22"/>
          <w:szCs w:val="22"/>
        </w:rPr>
        <w:t xml:space="preserve">Diag IT N1 — détail par catégorie</w:t>
      </w:r>
    </w:p>
    <w:p>
      <w:pPr>
        <w:pStyle w:val="ListParagraph"/>
        <w:numPr>
          <w:ilvl w:val="0"/>
          <w:numId w:val="1"/>
        </w:numPr>
        <w:spacing w:after="60"/>
      </w:pPr>
      <w:r>
        <w:t xml:space="preserve">Identité &amp; accès : 50/100 (3/3 réponses · 1P / 1N)</w:t>
      </w:r>
    </w:p>
    <w:p>
      <w:pPr>
        <w:pStyle w:val="ListParagraph"/>
        <w:numPr>
          <w:ilvl w:val="0"/>
          <w:numId w:val="1"/>
        </w:numPr>
        <w:spacing w:after="60"/>
      </w:pPr>
      <w:r>
        <w:t xml:space="preserve">Gouvernance SI : 75/100 (2/2 réponses · 1P / 0N)</w:t>
      </w:r>
    </w:p>
    <w:p>
      <w:pPr>
        <w:pStyle w:val="ListParagraph"/>
        <w:numPr>
          <w:ilvl w:val="0"/>
          <w:numId w:val="1"/>
        </w:numPr>
        <w:spacing w:after="60"/>
      </w:pPr>
      <w:r>
        <w:t xml:space="preserve">Cybersécurité : 50/100 (4/4 réponses · 2P / 1N)</w:t>
      </w:r>
    </w:p>
    <w:p>
      <w:pPr>
        <w:pStyle w:val="ListParagraph"/>
        <w:numPr>
          <w:ilvl w:val="0"/>
          <w:numId w:val="1"/>
        </w:numPr>
        <w:spacing w:after="60"/>
      </w:pPr>
      <w:r>
        <w:t xml:space="preserve">Continuité &amp; incidents : 60/100 (5/5 réponses · 2P / 1N)</w:t>
      </w:r>
    </w:p>
    <w:p>
      <w:pPr>
        <w:pStyle w:val="ListParagraph"/>
        <w:numPr>
          <w:ilvl w:val="0"/>
          <w:numId w:val="1"/>
        </w:numPr>
        <w:spacing w:after="60"/>
      </w:pPr>
      <w:r>
        <w:t xml:space="preserve">Données personnelles &amp; RGPD : 83/100 (3/3 réponses · 1P / 0N)</w:t>
      </w:r>
    </w:p>
    <w:p>
      <w:pPr>
        <w:pStyle w:val="ListParagraph"/>
        <w:numPr>
          <w:ilvl w:val="0"/>
          <w:numId w:val="1"/>
        </w:numPr>
        <w:spacing w:after="60"/>
      </w:pPr>
      <w:r>
        <w:t xml:space="preserve">Prestataires &amp; cloud : 50/100 (3/4 réponses · 1P / 1N)</w:t>
      </w:r>
    </w:p>
    <w:p>
      <w:pPr>
        <w:pStyle w:val="ListParagraph"/>
        <w:numPr>
          <w:ilvl w:val="0"/>
          <w:numId w:val="1"/>
        </w:numPr>
        <w:spacing w:after="60"/>
      </w:pPr>
      <w:r>
        <w:t xml:space="preserve">Sensibilisation : 50/100 (1/1 réponses · 1P / 0N)</w:t>
      </w:r>
    </w:p>
    <w:p>
      <w:pPr>
        <w:pStyle w:val="ListParagraph"/>
        <w:numPr>
          <w:ilvl w:val="0"/>
          <w:numId w:val="1"/>
        </w:numPr>
        <w:spacing w:after="60"/>
      </w:pPr>
      <w:r>
        <w:t xml:space="preserve">Conformité 2026+ : 60/100 (5/5 réponses · 2P / 1N)</w:t>
      </w:r>
    </w:p>
    <w:p>
      <w:pPr>
        <w:pStyle w:val="Heading3"/>
        <w:spacing w:after="80" w:before="200"/>
      </w:pPr>
      <w:r>
        <w:rPr>
          <w:b/>
          <w:bCs/>
          <w:sz w:val="22"/>
          <w:szCs w:val="22"/>
        </w:rPr>
        <w:t xml:space="preserve">Diag IT N2 — détail par catégorie</w:t>
      </w:r>
    </w:p>
    <w:p>
      <w:pPr>
        <w:pStyle w:val="ListParagraph"/>
        <w:numPr>
          <w:ilvl w:val="0"/>
          <w:numId w:val="1"/>
        </w:numPr>
        <w:spacing w:after="60"/>
      </w:pPr>
      <w:r>
        <w:t xml:space="preserve">Identité &amp; accès : 71/100 (7/7 réponses · 2P / 1N)</w:t>
      </w:r>
    </w:p>
    <w:p>
      <w:pPr>
        <w:pStyle w:val="ListParagraph"/>
        <w:numPr>
          <w:ilvl w:val="0"/>
          <w:numId w:val="1"/>
        </w:numPr>
        <w:spacing w:after="60"/>
      </w:pPr>
      <w:r>
        <w:t xml:space="preserve">Gouvernance &amp; organisation : 64/100 (7/7 réponses · 3P / 1N)</w:t>
      </w:r>
    </w:p>
    <w:p>
      <w:pPr>
        <w:pStyle w:val="ListParagraph"/>
        <w:numPr>
          <w:ilvl w:val="0"/>
          <w:numId w:val="1"/>
        </w:numPr>
        <w:spacing w:after="60"/>
      </w:pPr>
      <w:r>
        <w:t xml:space="preserve">Sécurité réseau : 67/100 (6/6 réponses · 2P / 1N)</w:t>
      </w:r>
    </w:p>
    <w:p>
      <w:pPr>
        <w:pStyle w:val="ListParagraph"/>
        <w:numPr>
          <w:ilvl w:val="0"/>
          <w:numId w:val="1"/>
        </w:numPr>
        <w:spacing w:after="60"/>
      </w:pPr>
      <w:r>
        <w:t xml:space="preserve">Postes &amp; mobilité : 67/100 (6/6 réponses · 2P / 1N)</w:t>
      </w:r>
    </w:p>
    <w:p>
      <w:pPr>
        <w:pStyle w:val="ListParagraph"/>
        <w:numPr>
          <w:ilvl w:val="0"/>
          <w:numId w:val="1"/>
        </w:numPr>
        <w:spacing w:after="60"/>
      </w:pPr>
      <w:r>
        <w:t xml:space="preserve">Supervision &amp; détection : 80/100 (5/5 réponses · 2P / 0N)</w:t>
      </w:r>
    </w:p>
    <w:p>
      <w:pPr>
        <w:pStyle w:val="ListParagraph"/>
        <w:numPr>
          <w:ilvl w:val="0"/>
          <w:numId w:val="1"/>
        </w:numPr>
        <w:spacing w:after="60"/>
      </w:pPr>
      <w:r>
        <w:t xml:space="preserve">Sauvegardes &amp; continuité : 67/100 (6/6 réponses · 2P / 1N)</w:t>
      </w:r>
    </w:p>
    <w:p>
      <w:pPr>
        <w:pStyle w:val="ListParagraph"/>
        <w:numPr>
          <w:ilvl w:val="0"/>
          <w:numId w:val="1"/>
        </w:numPr>
        <w:spacing w:after="60"/>
      </w:pPr>
      <w:r>
        <w:t xml:space="preserve">Infrastructure &amp; architecture : 57/100 (7/7 réponses · 2P / 2N)</w:t>
      </w:r>
    </w:p>
    <w:p>
      <w:pPr>
        <w:pStyle w:val="ListParagraph"/>
        <w:numPr>
          <w:ilvl w:val="0"/>
          <w:numId w:val="1"/>
        </w:numPr>
        <w:spacing w:after="60"/>
      </w:pPr>
      <w:r>
        <w:t xml:space="preserve">Messagerie &amp; collaboration : 60/100 (5/5 réponses · 2P / 1N)</w:t>
      </w:r>
    </w:p>
    <w:p>
      <w:pPr>
        <w:pStyle w:val="ListParagraph"/>
        <w:numPr>
          <w:ilvl w:val="0"/>
          <w:numId w:val="1"/>
        </w:numPr>
        <w:spacing w:after="60"/>
      </w:pPr>
      <w:r>
        <w:t xml:space="preserve">Cloud &amp; SaaS : 67/100 (6/6 réponses · 2P / 1N)</w:t>
      </w:r>
    </w:p>
    <w:p>
      <w:pPr>
        <w:pStyle w:val="ListParagraph"/>
        <w:numPr>
          <w:ilvl w:val="0"/>
          <w:numId w:val="1"/>
        </w:numPr>
        <w:spacing w:after="60"/>
      </w:pPr>
      <w:r>
        <w:t xml:space="preserve">Données &amp; RGPD : 70/100 (5/7 réponses · 1P / 1N)</w:t>
      </w:r>
    </w:p>
    <w:p>
      <w:pPr>
        <w:pStyle w:val="ListParagraph"/>
        <w:numPr>
          <w:ilvl w:val="0"/>
          <w:numId w:val="1"/>
        </w:numPr>
        <w:spacing w:after="60"/>
      </w:pPr>
      <w:r>
        <w:t xml:space="preserve">Prestataires &amp; contrats : — (0/6 réponses · 0P / 0N)</w:t>
      </w:r>
    </w:p>
    <w:p>
      <w:pPr>
        <w:pStyle w:val="ListParagraph"/>
        <w:numPr>
          <w:ilvl w:val="0"/>
          <w:numId w:val="1"/>
        </w:numPr>
        <w:spacing w:after="60"/>
      </w:pPr>
      <w:r>
        <w:t xml:space="preserve">Sensibilisation &amp; culture : — (0/6 réponses · 0P / 0N)</w:t>
      </w:r>
    </w:p>
    <w:p>
      <w:pPr>
        <w:pStyle w:val="ListParagraph"/>
        <w:numPr>
          <w:ilvl w:val="0"/>
          <w:numId w:val="1"/>
        </w:numPr>
        <w:spacing w:after="60"/>
      </w:pPr>
      <w:r>
        <w:t xml:space="preserve">IA &amp; innovation : — (0/6 réponses · 0P / 0N)</w:t>
      </w:r>
    </w:p>
    <w:p>
      <w:pPr>
        <w:pStyle w:val="ListParagraph"/>
        <w:numPr>
          <w:ilvl w:val="0"/>
          <w:numId w:val="1"/>
        </w:numPr>
        <w:spacing w:after="60"/>
      </w:pPr>
      <w:r>
        <w:t xml:space="preserve">Conduite de projet : — (0/6 réponses · 0P / 0N)</w:t>
      </w:r>
    </w:p>
    <w:p>
      <w:pPr>
        <w:pStyle w:val="Heading3"/>
        <w:spacing w:after="80" w:before="200"/>
      </w:pPr>
      <w:r>
        <w:rPr>
          <w:b/>
          <w:bCs/>
          <w:sz w:val="22"/>
          <w:szCs w:val="22"/>
        </w:rPr>
        <w:t xml:space="preserve">Modern Workplace — détail par catégorie</w:t>
      </w:r>
    </w:p>
    <w:p>
      <w:pPr>
        <w:pStyle w:val="ListParagraph"/>
        <w:numPr>
          <w:ilvl w:val="0"/>
          <w:numId w:val="1"/>
        </w:numPr>
        <w:spacing w:after="60"/>
      </w:pPr>
      <w:r>
        <w:t xml:space="preserve">Identité &amp; accès : 70/100 (5/5 réponses · 1P / 1N)</w:t>
      </w:r>
    </w:p>
    <w:p>
      <w:pPr>
        <w:pStyle w:val="ListParagraph"/>
        <w:numPr>
          <w:ilvl w:val="0"/>
          <w:numId w:val="1"/>
        </w:numPr>
        <w:spacing w:after="60"/>
      </w:pPr>
      <w:r>
        <w:t xml:space="preserve">Productivité &amp; collaboration : 60/100 (5/5 réponses · 2P / 1N)</w:t>
      </w:r>
    </w:p>
    <w:p>
      <w:pPr>
        <w:pStyle w:val="ListParagraph"/>
        <w:numPr>
          <w:ilvl w:val="0"/>
          <w:numId w:val="1"/>
        </w:numPr>
        <w:spacing w:after="60"/>
      </w:pPr>
      <w:r>
        <w:t xml:space="preserve">Endpoint &amp; sécurité poste : 58/100 (6/6 réponses · 1P / 2N)</w:t>
      </w:r>
    </w:p>
    <w:p>
      <w:pPr>
        <w:pStyle w:val="ListParagraph"/>
        <w:numPr>
          <w:ilvl w:val="0"/>
          <w:numId w:val="1"/>
        </w:numPr>
        <w:spacing w:after="60"/>
      </w:pPr>
      <w:r>
        <w:t xml:space="preserve">Communication &amp; visio : 70/100 (5/5 réponses · 1P / 1N)</w:t>
      </w:r>
    </w:p>
    <w:p>
      <w:pPr>
        <w:pStyle w:val="ListParagraph"/>
        <w:numPr>
          <w:ilvl w:val="0"/>
          <w:numId w:val="1"/>
        </w:numPr>
        <w:spacing w:after="60"/>
      </w:pPr>
      <w:r>
        <w:t xml:space="preserve">Stockage &amp; sauvegarde : 63/100 (4/6 réponses · 1P / 1N)</w:t>
      </w:r>
    </w:p>
    <w:p>
      <w:pPr>
        <w:pStyle w:val="ListParagraph"/>
        <w:numPr>
          <w:ilvl w:val="0"/>
          <w:numId w:val="1"/>
        </w:numPr>
        <w:spacing w:after="60"/>
      </w:pPr>
      <w:r>
        <w:t xml:space="preserve">Souveraineté &amp; conformité : — (0/8 réponses · 0P / 0N)</w:t>
      </w:r>
    </w:p>
    <w:p>
      <w:pPr>
        <w:pStyle w:val="Heading3"/>
        <w:spacing w:after="80" w:before="200"/>
      </w:pPr>
      <w:r>
        <w:rPr>
          <w:b/>
          <w:bCs/>
          <w:sz w:val="22"/>
          <w:szCs w:val="22"/>
        </w:rPr>
        <w:t xml:space="preserve">Zero Trust — détail par catégorie</w:t>
      </w:r>
    </w:p>
    <w:p>
      <w:pPr>
        <w:pStyle w:val="ListParagraph"/>
        <w:numPr>
          <w:ilvl w:val="0"/>
          <w:numId w:val="1"/>
        </w:numPr>
        <w:spacing w:after="60"/>
      </w:pPr>
      <w:r>
        <w:t xml:space="preserve">Identité : 39/100 (9/9 réponses · 3P / 4N)</w:t>
      </w:r>
    </w:p>
    <w:p>
      <w:pPr>
        <w:pStyle w:val="ListParagraph"/>
        <w:numPr>
          <w:ilvl w:val="0"/>
          <w:numId w:val="1"/>
        </w:numPr>
        <w:spacing w:after="60"/>
      </w:pPr>
      <w:r>
        <w:t xml:space="preserve">Appareils : 42/100 (6/8 réponses · 3P / 2N)</w:t>
      </w:r>
    </w:p>
    <w:p>
      <w:pPr>
        <w:pStyle w:val="ListParagraph"/>
        <w:numPr>
          <w:ilvl w:val="0"/>
          <w:numId w:val="1"/>
        </w:numPr>
        <w:spacing w:after="60"/>
      </w:pPr>
      <w:r>
        <w:t xml:space="preserve">Réseau : — (0/8 réponses · 0P / 0N)</w:t>
      </w:r>
    </w:p>
    <w:p>
      <w:pPr>
        <w:pStyle w:val="ListParagraph"/>
        <w:numPr>
          <w:ilvl w:val="0"/>
          <w:numId w:val="1"/>
        </w:numPr>
        <w:spacing w:after="60"/>
      </w:pPr>
      <w:r>
        <w:t xml:space="preserve">Applications : — (0/8 réponses · 0P / 0N)</w:t>
      </w:r>
    </w:p>
    <w:p>
      <w:pPr>
        <w:pStyle w:val="ListParagraph"/>
        <w:numPr>
          <w:ilvl w:val="0"/>
          <w:numId w:val="1"/>
        </w:numPr>
        <w:spacing w:after="60"/>
      </w:pPr>
      <w:r>
        <w:t xml:space="preserve">Données : — (0/8 réponses · 0P / 0N)</w:t>
      </w:r>
    </w:p>
    <w:p>
      <w:pPr>
        <w:pStyle w:val="ListParagraph"/>
        <w:numPr>
          <w:ilvl w:val="0"/>
          <w:numId w:val="1"/>
        </w:numPr>
        <w:spacing w:after="60"/>
      </w:pPr>
      <w:r>
        <w:t xml:space="preserve">Visibilité &amp; Automatisation : — (0/9 réponses · 0P / 0N)</w:t>
      </w:r>
    </w:p>
    <w:p>
      <w:pPr>
        <w:pStyle w:val="Heading3"/>
        <w:spacing w:after="80" w:before="200"/>
      </w:pPr>
      <w:r>
        <w:rPr>
          <w:b/>
          <w:bCs/>
          <w:sz w:val="22"/>
          <w:szCs w:val="22"/>
        </w:rPr>
        <w:t xml:space="preserve">IA &amp; Automatisations — détail par catégorie</w:t>
      </w:r>
    </w:p>
    <w:p>
      <w:pPr>
        <w:pStyle w:val="ListParagraph"/>
        <w:numPr>
          <w:ilvl w:val="0"/>
          <w:numId w:val="1"/>
        </w:numPr>
        <w:spacing w:after="60"/>
      </w:pPr>
      <w:r>
        <w:t xml:space="preserve">Stratégie &amp; cas d'usage : — (0/6 réponses · 0P / 0N)</w:t>
      </w:r>
    </w:p>
    <w:p>
      <w:pPr>
        <w:pStyle w:val="ListParagraph"/>
        <w:numPr>
          <w:ilvl w:val="0"/>
          <w:numId w:val="1"/>
        </w:numPr>
        <w:spacing w:after="60"/>
      </w:pPr>
      <w:r>
        <w:t xml:space="preserve">Gouvernance &amp; AI Act : — (0/7 réponses · 0P / 0N)</w:t>
      </w:r>
    </w:p>
    <w:p>
      <w:pPr>
        <w:pStyle w:val="ListParagraph"/>
        <w:numPr>
          <w:ilvl w:val="0"/>
          <w:numId w:val="1"/>
        </w:numPr>
        <w:spacing w:after="60"/>
      </w:pPr>
      <w:r>
        <w:t xml:space="preserve">Données &amp; qualité : — (0/6 réponses · 0P / 0N)</w:t>
      </w:r>
    </w:p>
    <w:p>
      <w:pPr>
        <w:pStyle w:val="ListParagraph"/>
        <w:numPr>
          <w:ilvl w:val="0"/>
          <w:numId w:val="1"/>
        </w:numPr>
        <w:spacing w:after="60"/>
      </w:pPr>
      <w:r>
        <w:t xml:space="preserve">Sécurité IA : — (0/7 réponses · 0P / 0N)</w:t>
      </w:r>
    </w:p>
    <w:p>
      <w:pPr>
        <w:pStyle w:val="ListParagraph"/>
        <w:numPr>
          <w:ilvl w:val="0"/>
          <w:numId w:val="1"/>
        </w:numPr>
        <w:spacing w:after="60"/>
      </w:pPr>
      <w:r>
        <w:t xml:space="preserve">Adoption : — (0/4 réponses · 0P / 0N)</w:t>
      </w:r>
    </w:p>
    <w:p>
      <w:pPr>
        <w:pStyle w:val="ListParagraph"/>
        <w:numPr>
          <w:ilvl w:val="0"/>
          <w:numId w:val="1"/>
        </w:numPr>
        <w:spacing w:after="60"/>
      </w:pPr>
      <w:r>
        <w:t xml:space="preserve">Automatisation processus : — (0/6 réponses · 0P / 0N)</w:t>
      </w:r>
    </w:p>
    <w:p>
      <w:pPr>
        <w:pStyle w:val="ListParagraph"/>
        <w:numPr>
          <w:ilvl w:val="0"/>
          <w:numId w:val="1"/>
        </w:numPr>
        <w:spacing w:after="60"/>
      </w:pPr>
      <w:r>
        <w:t xml:space="preserve">Performance &amp; FinOps IA : — (0/8 réponses · 0P / 0N)</w:t>
      </w:r>
    </w:p>
    <w:p>
      <w:pPr>
        <w:pStyle w:val="ListParagraph"/>
        <w:numPr>
          <w:ilvl w:val="0"/>
          <w:numId w:val="1"/>
        </w:numPr>
        <w:spacing w:after="60"/>
      </w:pPr>
      <w:r>
        <w:t xml:space="preserve">IA locale &amp; souveraineté : — (0/2 réponses · 0P / 0N)</w:t>
      </w:r>
    </w:p>
    <w:p>
      <w:pPr>
        <w:pStyle w:val="ListParagraph"/>
        <w:numPr>
          <w:ilvl w:val="0"/>
          <w:numId w:val="1"/>
        </w:numPr>
        <w:spacing w:after="60"/>
      </w:pPr>
      <w:r>
        <w:t xml:space="preserve">IA agentique &amp; assistants : — (0/4 réponses · 0P / 0N)</w:t>
      </w:r>
    </w:p>
    <w:p>
      <w:pPr>
        <w:pStyle w:val="ListParagraph"/>
        <w:numPr>
          <w:ilvl w:val="0"/>
          <w:numId w:val="1"/>
        </w:numPr>
        <w:spacing w:after="60"/>
      </w:pPr>
      <w:r>
        <w:t xml:space="preserve">Développement assisté par IA : — (0/3 réponses · 0P / 0N)</w:t>
      </w:r>
    </w:p>
    <w:p>
      <w:pPr>
        <w:pStyle w:val="ListParagraph"/>
        <w:numPr>
          <w:ilvl w:val="0"/>
          <w:numId w:val="1"/>
        </w:numPr>
        <w:spacing w:after="60"/>
      </w:pPr>
      <w:r>
        <w:t xml:space="preserve">Vibe coding &amp; citizen development : — (0/3 réponses · 0P / 0N)</w:t>
      </w:r>
    </w:p>
    <w:p>
      <w:pPr>
        <w:pStyle w:val="Heading3"/>
        <w:spacing w:after="80" w:before="200"/>
      </w:pPr>
      <w:r>
        <w:rPr>
          <w:b/>
          <w:bCs/>
          <w:sz w:val="22"/>
          <w:szCs w:val="22"/>
        </w:rPr>
        <w:t xml:space="preserve">Entretien dirigeant — détail par catégorie</w:t>
      </w:r>
    </w:p>
    <w:p>
      <w:pPr>
        <w:pStyle w:val="ListParagraph"/>
        <w:numPr>
          <w:ilvl w:val="0"/>
          <w:numId w:val="1"/>
        </w:numPr>
        <w:spacing w:after="60"/>
      </w:pPr>
      <w:r>
        <w:t xml:space="preserve">Irritants : — (0/1 réponses · 0P / 0N)</w:t>
      </w:r>
    </w:p>
    <w:p>
      <w:pPr>
        <w:pStyle w:val="ListParagraph"/>
        <w:numPr>
          <w:ilvl w:val="0"/>
          <w:numId w:val="1"/>
        </w:numPr>
        <w:spacing w:after="60"/>
      </w:pPr>
      <w:r>
        <w:t xml:space="preserve">Continuité : — (0/1 réponses · 0P / 0N)</w:t>
      </w:r>
    </w:p>
    <w:p>
      <w:pPr>
        <w:pStyle w:val="ListParagraph"/>
        <w:numPr>
          <w:ilvl w:val="0"/>
          <w:numId w:val="1"/>
        </w:numPr>
        <w:spacing w:after="60"/>
      </w:pPr>
      <w:r>
        <w:t xml:space="preserve">Vision : — (0/1 réponses · 0P / 0N)</w:t>
      </w:r>
    </w:p>
    <w:p>
      <w:pPr>
        <w:pStyle w:val="ListParagraph"/>
        <w:numPr>
          <w:ilvl w:val="0"/>
          <w:numId w:val="1"/>
        </w:numPr>
        <w:spacing w:after="60"/>
      </w:pPr>
      <w:r>
        <w:t xml:space="preserve">Pilotage : — (0/1 réponses · 0P / 0N)</w:t>
      </w:r>
    </w:p>
    <w:p>
      <w:pPr>
        <w:pStyle w:val="ListParagraph"/>
        <w:numPr>
          <w:ilvl w:val="0"/>
          <w:numId w:val="1"/>
        </w:numPr>
        <w:spacing w:after="60"/>
      </w:pPr>
      <w:r>
        <w:t xml:space="preserve">Décision : — (0/1 réponses · 0P / 0N)</w:t>
      </w:r>
    </w:p>
    <w:p>
      <w:pPr>
        <w:pStyle w:val="ListParagraph"/>
        <w:numPr>
          <w:ilvl w:val="0"/>
          <w:numId w:val="1"/>
        </w:numPr>
        <w:spacing w:after="60"/>
      </w:pPr>
      <w:r>
        <w:t xml:space="preserve">Posture : — (0/1 réponses · 0P / 0N)</w:t>
      </w:r>
    </w:p>
    <w:p>
      <w:pPr>
        <w:pStyle w:val="ListParagraph"/>
        <w:numPr>
          <w:ilvl w:val="0"/>
          <w:numId w:val="1"/>
        </w:numPr>
        <w:spacing w:after="60"/>
      </w:pPr>
      <w:r>
        <w:t xml:space="preserve">Dépendances : — (0/1 réponses · 0P / 0N)</w:t>
      </w:r>
    </w:p>
    <w:p>
      <w:pPr>
        <w:pStyle w:val="ListParagraph"/>
        <w:numPr>
          <w:ilvl w:val="0"/>
          <w:numId w:val="1"/>
        </w:numPr>
        <w:spacing w:after="60"/>
      </w:pPr>
      <w:r>
        <w:t xml:space="preserve">Incidents : — (0/1 réponses · 0P / 0N)</w:t>
      </w:r>
    </w:p>
    <w:p>
      <w:pPr>
        <w:pStyle w:val="ListParagraph"/>
        <w:numPr>
          <w:ilvl w:val="0"/>
          <w:numId w:val="1"/>
        </w:numPr>
        <w:spacing w:after="60"/>
      </w:pPr>
      <w:r>
        <w:t xml:space="preserve">ROI : — (0/1 réponses · 0P / 0N)</w:t>
      </w:r>
    </w:p>
    <w:p>
      <w:pPr>
        <w:pStyle w:val="ListParagraph"/>
        <w:numPr>
          <w:ilvl w:val="0"/>
          <w:numId w:val="1"/>
        </w:numPr>
        <w:spacing w:after="60"/>
      </w:pPr>
      <w:r>
        <w:t xml:space="preserve">Trajectoire : — (0/1 réponses · 0P / 0N)</w:t>
      </w:r>
    </w:p>
    <w:p>
      <w:pPr>
        <w:pStyle w:val="ListParagraph"/>
        <w:numPr>
          <w:ilvl w:val="0"/>
          <w:numId w:val="1"/>
        </w:numPr>
        <w:spacing w:after="60"/>
      </w:pPr>
      <w:r>
        <w:t xml:space="preserve">Mandat : — (0/1 réponses · 0P / 0N)</w:t>
      </w:r>
    </w:p>
    <w:p>
      <w:pPr>
        <w:pStyle w:val="ListParagraph"/>
        <w:numPr>
          <w:ilvl w:val="0"/>
          <w:numId w:val="1"/>
        </w:numPr>
        <w:spacing w:after="60"/>
      </w:pPr>
      <w:r>
        <w:t xml:space="preserve">Clôture : — (0/3 réponses · 0P / 0N)</w:t>
      </w:r>
    </w:p>
    <w:p>
      <w:pPr>
        <w:pStyle w:val="Heading3"/>
        <w:spacing w:after="80" w:before="200"/>
      </w:pPr>
      <w:r>
        <w:rPr>
          <w:b/>
          <w:bCs/>
          <w:sz w:val="22"/>
          <w:szCs w:val="22"/>
        </w:rPr>
        <w:t xml:space="preserve">France Num — détail par catégorie</w:t>
      </w:r>
    </w:p>
    <w:p>
      <w:pPr>
        <w:pStyle w:val="ListParagraph"/>
        <w:numPr>
          <w:ilvl w:val="0"/>
          <w:numId w:val="1"/>
        </w:numPr>
        <w:spacing w:after="60"/>
      </w:pPr>
      <w:r>
        <w:t xml:space="preserve">Présence en ligne : — (0/4 réponses · 0P / 0N)</w:t>
      </w:r>
    </w:p>
    <w:p>
      <w:pPr>
        <w:pStyle w:val="ListParagraph"/>
        <w:numPr>
          <w:ilvl w:val="0"/>
          <w:numId w:val="1"/>
        </w:numPr>
        <w:spacing w:after="60"/>
      </w:pPr>
      <w:r>
        <w:t xml:space="preserve">Relation client &amp; CRM : — (0/4 réponses · 0P / 0N)</w:t>
      </w:r>
    </w:p>
    <w:p>
      <w:pPr>
        <w:pStyle w:val="ListParagraph"/>
        <w:numPr>
          <w:ilvl w:val="0"/>
          <w:numId w:val="1"/>
        </w:numPr>
        <w:spacing w:after="60"/>
      </w:pPr>
      <w:r>
        <w:t xml:space="preserve">Vente en ligne &amp; canaux digitaux : — (0/4 réponses · 0P / 0N)</w:t>
      </w:r>
    </w:p>
    <w:p>
      <w:pPr>
        <w:pStyle w:val="ListParagraph"/>
        <w:numPr>
          <w:ilvl w:val="0"/>
          <w:numId w:val="1"/>
        </w:numPr>
        <w:spacing w:after="60"/>
      </w:pPr>
      <w:r>
        <w:t xml:space="preserve">Processus &amp; opérations numériques : — (0/4 réponses · 0P / 0N)</w:t>
      </w:r>
    </w:p>
    <w:p>
      <w:pPr>
        <w:pStyle w:val="ListParagraph"/>
        <w:numPr>
          <w:ilvl w:val="0"/>
          <w:numId w:val="1"/>
        </w:numPr>
        <w:spacing w:after="60"/>
      </w:pPr>
      <w:r>
        <w:t xml:space="preserve">Sécurité numérique de base : — (0/4 réponses · 0P / 0N)</w:t>
      </w:r>
    </w:p>
    <w:p>
      <w:pPr>
        <w:pStyle w:val="ListParagraph"/>
        <w:numPr>
          <w:ilvl w:val="0"/>
          <w:numId w:val="1"/>
        </w:numPr>
        <w:spacing w:after="60"/>
      </w:pPr>
      <w:r>
        <w:t xml:space="preserve">Données &amp; pilotage : — (0/4 réponses · 0P / 0N)</w:t>
      </w:r>
    </w:p>
    <w:p>
      <w:pPr>
        <w:pStyle w:val="Heading3"/>
        <w:spacing w:after="80" w:before="200"/>
      </w:pPr>
      <w:r>
        <w:rPr>
          <w:b/>
          <w:bCs/>
          <w:sz w:val="22"/>
          <w:szCs w:val="22"/>
        </w:rPr>
        <w:t xml:space="preserve">PCA/PRA — détail par catégorie</w:t>
      </w:r>
    </w:p>
    <w:p>
      <w:pPr>
        <w:pStyle w:val="ListParagraph"/>
        <w:numPr>
          <w:ilvl w:val="0"/>
          <w:numId w:val="1"/>
        </w:numPr>
        <w:spacing w:after="60"/>
      </w:pPr>
      <w:r>
        <w:t xml:space="preserve">Gouvernance &amp; périmètre PCA/PRA : — (0/3 réponses · 0P / 0N)</w:t>
      </w:r>
    </w:p>
    <w:p>
      <w:pPr>
        <w:pStyle w:val="ListParagraph"/>
        <w:numPr>
          <w:ilvl w:val="0"/>
          <w:numId w:val="1"/>
        </w:numPr>
        <w:spacing w:after="60"/>
      </w:pPr>
      <w:r>
        <w:t xml:space="preserve">Analyse d'impact BIA : — (0/3 réponses · 0P / 0N)</w:t>
      </w:r>
    </w:p>
    <w:p>
      <w:pPr>
        <w:pStyle w:val="ListParagraph"/>
        <w:numPr>
          <w:ilvl w:val="0"/>
          <w:numId w:val="1"/>
        </w:numPr>
        <w:spacing w:after="60"/>
      </w:pPr>
      <w:r>
        <w:t xml:space="preserve">Stratégies de continuité : — (0/3 réponses · 0P / 0N)</w:t>
      </w:r>
    </w:p>
    <w:p>
      <w:pPr>
        <w:pStyle w:val="ListParagraph"/>
        <w:numPr>
          <w:ilvl w:val="0"/>
          <w:numId w:val="1"/>
        </w:numPr>
        <w:spacing w:after="60"/>
      </w:pPr>
      <w:r>
        <w:t xml:space="preserve">Plans PCA/PRA documentation : — (0/2 réponses · 0P / 0N)</w:t>
      </w:r>
    </w:p>
    <w:p>
      <w:pPr>
        <w:pStyle w:val="ListParagraph"/>
        <w:numPr>
          <w:ilvl w:val="0"/>
          <w:numId w:val="1"/>
        </w:numPr>
        <w:spacing w:after="60"/>
      </w:pPr>
      <w:r>
        <w:t xml:space="preserve">Tests &amp; exercices : — (0/3 réponses · 0P / 0N)</w:t>
      </w:r>
    </w:p>
    <w:p>
      <w:pPr>
        <w:pStyle w:val="ListParagraph"/>
        <w:numPr>
          <w:ilvl w:val="0"/>
          <w:numId w:val="1"/>
        </w:numPr>
        <w:spacing w:after="60"/>
      </w:pPr>
      <w:r>
        <w:t xml:space="preserve">Intégration cyber : — (0/1 réponses · 0P / 0N)</w:t>
      </w:r>
    </w:p>
    <w:p>
      <w:pPr>
        <w:pStyle w:val="Heading3"/>
        <w:spacing w:after="80" w:before="200"/>
      </w:pPr>
      <w:r>
        <w:rPr>
          <w:b/>
          <w:bCs/>
          <w:sz w:val="22"/>
          <w:szCs w:val="22"/>
        </w:rPr>
        <w:t xml:space="preserve">Adoption ADKAR — détail par catégorie</w:t>
      </w:r>
    </w:p>
    <w:p>
      <w:pPr>
        <w:pStyle w:val="ListParagraph"/>
        <w:numPr>
          <w:ilvl w:val="0"/>
          <w:numId w:val="1"/>
        </w:numPr>
        <w:spacing w:after="60"/>
      </w:pPr>
      <w:r>
        <w:t xml:space="preserve">Awareness : — (0/3 réponses · 0P / 0N)</w:t>
      </w:r>
    </w:p>
    <w:p>
      <w:pPr>
        <w:pStyle w:val="ListParagraph"/>
        <w:numPr>
          <w:ilvl w:val="0"/>
          <w:numId w:val="1"/>
        </w:numPr>
        <w:spacing w:after="60"/>
      </w:pPr>
      <w:r>
        <w:t xml:space="preserve">Desire : — (0/3 réponses · 0P / 0N)</w:t>
      </w:r>
    </w:p>
    <w:p>
      <w:pPr>
        <w:pStyle w:val="ListParagraph"/>
        <w:numPr>
          <w:ilvl w:val="0"/>
          <w:numId w:val="1"/>
        </w:numPr>
        <w:spacing w:after="60"/>
      </w:pPr>
      <w:r>
        <w:t xml:space="preserve">Knowledge : — (0/3 réponses · 0P / 0N)</w:t>
      </w:r>
    </w:p>
    <w:p>
      <w:pPr>
        <w:pStyle w:val="ListParagraph"/>
        <w:numPr>
          <w:ilvl w:val="0"/>
          <w:numId w:val="1"/>
        </w:numPr>
        <w:spacing w:after="60"/>
      </w:pPr>
      <w:r>
        <w:t xml:space="preserve">Ability : — (0/3 réponses · 0P / 0N)</w:t>
      </w:r>
    </w:p>
    <w:p>
      <w:pPr>
        <w:pStyle w:val="ListParagraph"/>
        <w:numPr>
          <w:ilvl w:val="0"/>
          <w:numId w:val="1"/>
        </w:numPr>
        <w:spacing w:after="60"/>
      </w:pPr>
      <w:r>
        <w:t xml:space="preserve">Reinforcement : — (0/3 réponses · 0P / 0N)</w:t>
      </w:r>
    </w:p>
    <w:p>
      <w:pPr>
        <w:pStyle w:val="Heading3"/>
        <w:spacing w:after="80" w:before="200"/>
      </w:pPr>
      <w:r>
        <w:rPr>
          <w:b/>
          <w:bCs/>
          <w:sz w:val="22"/>
          <w:szCs w:val="22"/>
        </w:rPr>
        <w:t xml:space="preserve">Zachman SI — détail par catégorie</w:t>
      </w:r>
    </w:p>
    <w:p>
      <w:pPr>
        <w:pStyle w:val="ListParagraph"/>
        <w:numPr>
          <w:ilvl w:val="0"/>
          <w:numId w:val="1"/>
        </w:numPr>
        <w:spacing w:after="60"/>
      </w:pPr>
      <w:r>
        <w:t xml:space="preserve">Données (What) : — (0/5 réponses · 0P / 0N)</w:t>
      </w:r>
    </w:p>
    <w:p>
      <w:pPr>
        <w:pStyle w:val="ListParagraph"/>
        <w:numPr>
          <w:ilvl w:val="0"/>
          <w:numId w:val="1"/>
        </w:numPr>
        <w:spacing w:after="60"/>
      </w:pPr>
      <w:r>
        <w:t xml:space="preserve">Fonctions (How) : — (0/5 réponses · 0P / 0N)</w:t>
      </w:r>
    </w:p>
    <w:p>
      <w:pPr>
        <w:pStyle w:val="ListParagraph"/>
        <w:numPr>
          <w:ilvl w:val="0"/>
          <w:numId w:val="1"/>
        </w:numPr>
        <w:spacing w:after="60"/>
      </w:pPr>
      <w:r>
        <w:t xml:space="preserve">Réseaux (Where) : — (0/5 réponses · 0P / 0N)</w:t>
      </w:r>
    </w:p>
    <w:p>
      <w:pPr>
        <w:pStyle w:val="ListParagraph"/>
        <w:numPr>
          <w:ilvl w:val="0"/>
          <w:numId w:val="1"/>
        </w:numPr>
        <w:spacing w:after="60"/>
      </w:pPr>
      <w:r>
        <w:t xml:space="preserve">Personnes (Who) : — (0/5 réponses · 0P / 0N)</w:t>
      </w:r>
    </w:p>
    <w:p>
      <w:pPr>
        <w:pStyle w:val="ListParagraph"/>
        <w:numPr>
          <w:ilvl w:val="0"/>
          <w:numId w:val="1"/>
        </w:numPr>
        <w:spacing w:after="60"/>
      </w:pPr>
      <w:r>
        <w:t xml:space="preserve">Temps (When) : — (0/5 réponses · 0P / 0N)</w:t>
      </w:r>
    </w:p>
    <w:p>
      <w:pPr>
        <w:pStyle w:val="ListParagraph"/>
        <w:numPr>
          <w:ilvl w:val="0"/>
          <w:numId w:val="1"/>
        </w:numPr>
        <w:spacing w:after="60"/>
      </w:pPr>
      <w:r>
        <w:t xml:space="preserve">Motivations (Why) : — (0/5 réponses · 0P / 0N)</w:t>
      </w:r>
    </w:p>
    <w:p>
      <w:pPr>
        <w:pStyle w:val="Heading3"/>
        <w:spacing w:after="80" w:before="200"/>
      </w:pPr>
      <w:r>
        <w:rPr>
          <w:b/>
          <w:bCs/>
          <w:sz w:val="22"/>
          <w:szCs w:val="22"/>
        </w:rPr>
        <w:t xml:space="preserve">RGPD — détail par catégorie</w:t>
      </w:r>
    </w:p>
    <w:p>
      <w:pPr>
        <w:pStyle w:val="ListParagraph"/>
        <w:numPr>
          <w:ilvl w:val="0"/>
          <w:numId w:val="1"/>
        </w:numPr>
        <w:spacing w:after="60"/>
      </w:pPr>
      <w:r>
        <w:t xml:space="preserve">Pilotage de la protection des données : 75/100 (2/2 réponses · 1P / 0N)</w:t>
      </w:r>
    </w:p>
    <w:p>
      <w:pPr>
        <w:pStyle w:val="ListParagraph"/>
        <w:numPr>
          <w:ilvl w:val="0"/>
          <w:numId w:val="1"/>
        </w:numPr>
        <w:spacing w:after="60"/>
      </w:pPr>
      <w:r>
        <w:t xml:space="preserve">Cartographie &amp; registre des traitements : 50/100 (2/2 réponses · 0P / 1N)</w:t>
      </w:r>
    </w:p>
    <w:p>
      <w:pPr>
        <w:pStyle w:val="ListParagraph"/>
        <w:numPr>
          <w:ilvl w:val="0"/>
          <w:numId w:val="1"/>
        </w:numPr>
        <w:spacing w:after="60"/>
      </w:pPr>
      <w:r>
        <w:t xml:space="preserve">Analyse d'impact &amp; gestion des risques (DPIA) : 75/100 (2/2 réponses · 1P / 0N)</w:t>
      </w:r>
    </w:p>
    <w:p>
      <w:pPr>
        <w:pStyle w:val="ListParagraph"/>
        <w:numPr>
          <w:ilvl w:val="0"/>
          <w:numId w:val="1"/>
        </w:numPr>
        <w:spacing w:after="60"/>
      </w:pPr>
      <w:r>
        <w:t xml:space="preserve">Gestion des droits des personnes : 50/100 (2/2 réponses · 0P / 1N)</w:t>
      </w:r>
    </w:p>
    <w:p>
      <w:pPr>
        <w:pStyle w:val="ListParagraph"/>
        <w:numPr>
          <w:ilvl w:val="0"/>
          <w:numId w:val="1"/>
        </w:numPr>
        <w:spacing w:after="60"/>
      </w:pPr>
      <w:r>
        <w:t xml:space="preserve">Information &amp; transparence : 75/100 (2/2 réponses · 1P / 0N)</w:t>
      </w:r>
    </w:p>
    <w:p>
      <w:pPr>
        <w:pStyle w:val="ListParagraph"/>
        <w:numPr>
          <w:ilvl w:val="0"/>
          <w:numId w:val="1"/>
        </w:numPr>
        <w:spacing w:after="60"/>
      </w:pPr>
      <w:r>
        <w:t xml:space="preserve">Sécurité des données : 50/100 (2/2 réponses · 0P / 1N)</w:t>
      </w:r>
    </w:p>
    <w:p>
      <w:pPr>
        <w:pStyle w:val="ListParagraph"/>
        <w:numPr>
          <w:ilvl w:val="0"/>
          <w:numId w:val="1"/>
        </w:numPr>
        <w:spacing w:after="60"/>
      </w:pPr>
      <w:r>
        <w:t xml:space="preserve">Encadrement sous-traitants &amp; transferts : 75/100 (2/2 réponses · 1P / 0N)</w:t>
      </w:r>
    </w:p>
    <w:p>
      <w:pPr>
        <w:pStyle w:val="ListParagraph"/>
        <w:numPr>
          <w:ilvl w:val="0"/>
          <w:numId w:val="1"/>
        </w:numPr>
        <w:spacing w:after="60"/>
      </w:pPr>
      <w:r>
        <w:t xml:space="preserve">Sensibilisation &amp; culture RGPD : 50/100 (2/2 réponses · 0P / 1N)</w:t>
      </w:r>
    </w:p>
    <w:p>
      <w:pPr>
        <w:pStyle w:val="Heading3"/>
        <w:spacing w:after="80" w:before="200"/>
      </w:pPr>
      <w:r>
        <w:rPr>
          <w:b/>
          <w:bCs/>
          <w:sz w:val="22"/>
          <w:szCs w:val="22"/>
        </w:rPr>
        <w:t xml:space="preserve">Gestion risques — détail par catégorie</w:t>
      </w:r>
    </w:p>
    <w:p>
      <w:pPr>
        <w:pStyle w:val="ListParagraph"/>
        <w:numPr>
          <w:ilvl w:val="0"/>
          <w:numId w:val="1"/>
        </w:numPr>
        <w:spacing w:after="60"/>
      </w:pPr>
      <w:r>
        <w:t xml:space="preserve">Gouvernance &amp; politique risques : 25/100 (2/2 réponses · 1P / 1N)</w:t>
      </w:r>
    </w:p>
    <w:p>
      <w:pPr>
        <w:pStyle w:val="ListParagraph"/>
        <w:numPr>
          <w:ilvl w:val="0"/>
          <w:numId w:val="1"/>
        </w:numPr>
        <w:spacing w:after="60"/>
      </w:pPr>
      <w:r>
        <w:t xml:space="preserve">Méthodologie &amp; approche : 25/100 (2/2 réponses · 1P / 1N)</w:t>
      </w:r>
    </w:p>
    <w:p>
      <w:pPr>
        <w:pStyle w:val="ListParagraph"/>
        <w:numPr>
          <w:ilvl w:val="0"/>
          <w:numId w:val="1"/>
        </w:numPr>
        <w:spacing w:after="60"/>
      </w:pPr>
      <w:r>
        <w:t xml:space="preserve">Registre des risques : 50/100 (2/2 réponses · 2P / 0N)</w:t>
      </w:r>
    </w:p>
    <w:p>
      <w:pPr>
        <w:pStyle w:val="ListParagraph"/>
        <w:numPr>
          <w:ilvl w:val="0"/>
          <w:numId w:val="1"/>
        </w:numPr>
        <w:spacing w:after="60"/>
      </w:pPr>
      <w:r>
        <w:t xml:space="preserve">Traitement des risques : 25/100 (2/2 réponses · 1P / 1N)</w:t>
      </w:r>
    </w:p>
    <w:p>
      <w:pPr>
        <w:pStyle w:val="ListParagraph"/>
        <w:numPr>
          <w:ilvl w:val="0"/>
          <w:numId w:val="1"/>
        </w:numPr>
        <w:spacing w:after="60"/>
      </w:pPr>
      <w:r>
        <w:t xml:space="preserve">Suivi &amp; revue : 25/100 (2/2 réponses · 1P / 1N)</w:t>
      </w:r>
    </w:p>
    <w:p>
      <w:pPr>
        <w:pStyle w:val="ListParagraph"/>
        <w:numPr>
          <w:ilvl w:val="0"/>
          <w:numId w:val="1"/>
        </w:numPr>
        <w:spacing w:after="60"/>
      </w:pPr>
      <w:r>
        <w:t xml:space="preserve">Intégration décisionnelle : 50/100 (2/2 réponses · 2P / 0N)</w:t>
      </w:r>
    </w:p>
    <w:p>
      <w:pPr>
        <w:pStyle w:val="Heading3"/>
        <w:spacing w:after="80" w:before="200"/>
      </w:pPr>
      <w:r>
        <w:rPr>
          <w:b/>
          <w:bCs/>
          <w:sz w:val="22"/>
          <w:szCs w:val="22"/>
        </w:rPr>
        <w:t xml:space="preserve">Gouvernance IT — détail par catégorie</w:t>
      </w:r>
    </w:p>
    <w:p>
      <w:pPr>
        <w:pStyle w:val="ListParagraph"/>
        <w:numPr>
          <w:ilvl w:val="0"/>
          <w:numId w:val="1"/>
        </w:numPr>
        <w:spacing w:after="60"/>
      </w:pPr>
      <w:r>
        <w:t xml:space="preserve">Alignement stratégique IT/métier : — (0/2 réponses · 0P / 0N)</w:t>
      </w:r>
    </w:p>
    <w:p>
      <w:pPr>
        <w:pStyle w:val="ListParagraph"/>
        <w:numPr>
          <w:ilvl w:val="0"/>
          <w:numId w:val="1"/>
        </w:numPr>
        <w:spacing w:after="60"/>
      </w:pPr>
      <w:r>
        <w:t xml:space="preserve">Comités &amp; instances de pilotage : — (0/2 réponses · 0P / 0N)</w:t>
      </w:r>
    </w:p>
    <w:p>
      <w:pPr>
        <w:pStyle w:val="ListParagraph"/>
        <w:numPr>
          <w:ilvl w:val="0"/>
          <w:numId w:val="1"/>
        </w:numPr>
        <w:spacing w:after="60"/>
      </w:pPr>
      <w:r>
        <w:t xml:space="preserve">Budget &amp; investissement IT : — (0/2 réponses · 0P / 0N)</w:t>
      </w:r>
    </w:p>
    <w:p>
      <w:pPr>
        <w:pStyle w:val="ListParagraph"/>
        <w:numPr>
          <w:ilvl w:val="0"/>
          <w:numId w:val="1"/>
        </w:numPr>
        <w:spacing w:after="60"/>
      </w:pPr>
      <w:r>
        <w:t xml:space="preserve">Gestion fournisseurs &amp; contrats : — (0/2 réponses · 0P / 0N)</w:t>
      </w:r>
    </w:p>
    <w:p>
      <w:pPr>
        <w:pStyle w:val="ListParagraph"/>
        <w:numPr>
          <w:ilvl w:val="0"/>
          <w:numId w:val="1"/>
        </w:numPr>
        <w:spacing w:after="60"/>
      </w:pPr>
      <w:r>
        <w:t xml:space="preserve">Indicateurs &amp; reporting : — (0/2 réponses · 0P / 0N)</w:t>
      </w:r>
    </w:p>
    <w:p>
      <w:pPr>
        <w:pStyle w:val="ListParagraph"/>
        <w:numPr>
          <w:ilvl w:val="0"/>
          <w:numId w:val="1"/>
        </w:numPr>
        <w:spacing w:after="60"/>
      </w:pPr>
      <w:r>
        <w:t xml:space="preserve">Gestion du portefeuille projets IT : — (0/2 réponses · 0P / 0N)</w:t>
      </w:r>
    </w:p>
    <w:p>
      <w:pPr>
        <w:pStyle w:val="ListParagraph"/>
        <w:numPr>
          <w:ilvl w:val="0"/>
          <w:numId w:val="1"/>
        </w:numPr>
        <w:spacing w:after="60"/>
      </w:pPr>
      <w:r>
        <w:t xml:space="preserve">Ressources &amp; compétences IT : — (0/2 réponses · 0P / 0N)</w:t>
      </w:r>
    </w:p>
    <w:p>
      <w:pPr>
        <w:pStyle w:val="Heading3"/>
        <w:spacing w:after="80" w:before="200"/>
      </w:pPr>
      <w:r>
        <w:rPr>
          <w:b/>
          <w:bCs/>
          <w:sz w:val="22"/>
          <w:szCs w:val="22"/>
        </w:rPr>
        <w:t xml:space="preserve">Parc IT — détail par catégorie</w:t>
      </w:r>
    </w:p>
    <w:p>
      <w:pPr>
        <w:pStyle w:val="ListParagraph"/>
        <w:numPr>
          <w:ilvl w:val="0"/>
          <w:numId w:val="1"/>
        </w:numPr>
        <w:spacing w:after="60"/>
      </w:pPr>
      <w:r>
        <w:t xml:space="preserve">Inventaire &amp; découverte : — (0/2 réponses · 0P / 0N)</w:t>
      </w:r>
    </w:p>
    <w:p>
      <w:pPr>
        <w:pStyle w:val="ListParagraph"/>
        <w:numPr>
          <w:ilvl w:val="0"/>
          <w:numId w:val="1"/>
        </w:numPr>
        <w:spacing w:after="60"/>
      </w:pPr>
      <w:r>
        <w:t xml:space="preserve">Lifecycle postes &amp; serveurs : — (0/2 réponses · 0P / 0N)</w:t>
      </w:r>
    </w:p>
    <w:p>
      <w:pPr>
        <w:pStyle w:val="ListParagraph"/>
        <w:numPr>
          <w:ilvl w:val="0"/>
          <w:numId w:val="1"/>
        </w:numPr>
        <w:spacing w:after="60"/>
      </w:pPr>
      <w:r>
        <w:t xml:space="preserve">Gestion licences logicielles : — (0/2 réponses · 0P / 0N)</w:t>
      </w:r>
    </w:p>
    <w:p>
      <w:pPr>
        <w:pStyle w:val="ListParagraph"/>
        <w:numPr>
          <w:ilvl w:val="0"/>
          <w:numId w:val="1"/>
        </w:numPr>
        <w:spacing w:after="60"/>
      </w:pPr>
      <w:r>
        <w:t xml:space="preserve">Contrats &amp; garanties : — (0/2 réponses · 0P / 0N)</w:t>
      </w:r>
    </w:p>
    <w:p>
      <w:pPr>
        <w:pStyle w:val="ListParagraph"/>
        <w:numPr>
          <w:ilvl w:val="0"/>
          <w:numId w:val="1"/>
        </w:numPr>
        <w:spacing w:after="60"/>
      </w:pPr>
      <w:r>
        <w:t xml:space="preserve">Obsolescence &amp; dette technique : — (0/2 réponses · 0P / 0N)</w:t>
      </w:r>
    </w:p>
    <w:p>
      <w:pPr>
        <w:pStyle w:val="ListParagraph"/>
        <w:numPr>
          <w:ilvl w:val="0"/>
          <w:numId w:val="1"/>
        </w:numPr>
        <w:spacing w:after="60"/>
      </w:pPr>
      <w:r>
        <w:t xml:space="preserve">Lien avec sécurité : — (0/2 réponses · 0P / 0N)</w:t>
      </w:r>
    </w:p>
    <w:p>
      <w:pPr>
        <w:pStyle w:val="Heading3"/>
        <w:spacing w:after="80" w:before="200"/>
      </w:pPr>
      <w:r>
        <w:rPr>
          <w:b/>
          <w:bCs/>
          <w:sz w:val="22"/>
          <w:szCs w:val="22"/>
        </w:rPr>
        <w:t xml:space="preserve">Exploitation et support — détail par catégorie</w:t>
      </w:r>
    </w:p>
    <w:p>
      <w:pPr>
        <w:pStyle w:val="ListParagraph"/>
        <w:numPr>
          <w:ilvl w:val="0"/>
          <w:numId w:val="1"/>
        </w:numPr>
        <w:spacing w:after="60"/>
      </w:pPr>
      <w:r>
        <w:t xml:space="preserve">Support des utilisateurs : — (0/2 réponses · 0P / 0N)</w:t>
      </w:r>
    </w:p>
    <w:p>
      <w:pPr>
        <w:pStyle w:val="ListParagraph"/>
        <w:numPr>
          <w:ilvl w:val="0"/>
          <w:numId w:val="1"/>
        </w:numPr>
        <w:spacing w:after="60"/>
      </w:pPr>
      <w:r>
        <w:t xml:space="preserve">Prestataire et engagements de service : — (0/2 réponses · 0P / 0N)</w:t>
      </w:r>
    </w:p>
    <w:p>
      <w:pPr>
        <w:pStyle w:val="ListParagraph"/>
        <w:numPr>
          <w:ilvl w:val="0"/>
          <w:numId w:val="1"/>
        </w:numPr>
        <w:spacing w:after="60"/>
      </w:pPr>
      <w:r>
        <w:t xml:space="preserve">Accès d'administration : — (0/2 réponses · 0P / 0N)</w:t>
      </w:r>
    </w:p>
    <w:p>
      <w:pPr>
        <w:pStyle w:val="ListParagraph"/>
        <w:numPr>
          <w:ilvl w:val="0"/>
          <w:numId w:val="1"/>
        </w:numPr>
        <w:spacing w:after="60"/>
      </w:pPr>
      <w:r>
        <w:t xml:space="preserve">Mises à jour et changements : — (0/2 réponses · 0P / 0N)</w:t>
      </w:r>
    </w:p>
    <w:p>
      <w:pPr>
        <w:pStyle w:val="ListParagraph"/>
        <w:numPr>
          <w:ilvl w:val="0"/>
          <w:numId w:val="1"/>
        </w:numPr>
        <w:spacing w:after="60"/>
      </w:pPr>
      <w:r>
        <w:t xml:space="preserve">Surveillance et disponibilité : — (0/2 réponses · 0P / 0N)</w:t>
      </w:r>
    </w:p>
    <w:p>
      <w:pPr>
        <w:pStyle w:val="ListParagraph"/>
        <w:numPr>
          <w:ilvl w:val="0"/>
          <w:numId w:val="1"/>
        </w:numPr>
        <w:spacing w:after="60"/>
      </w:pPr>
      <w:r>
        <w:t xml:space="preserve">Documentation d'exploitation : — (0/2 réponses · 0P / 0N)</w:t>
      </w:r>
    </w:p>
    <w:p>
      <w:pPr>
        <w:pStyle w:val="Heading3"/>
        <w:spacing w:after="80" w:before="200"/>
      </w:pPr>
      <w:r>
        <w:rPr>
          <w:b/>
          <w:bCs/>
          <w:sz w:val="22"/>
          <w:szCs w:val="22"/>
        </w:rPr>
        <w:t xml:space="preserve">Applications et données — détail par catégorie</w:t>
      </w:r>
    </w:p>
    <w:p>
      <w:pPr>
        <w:pStyle w:val="ListParagraph"/>
        <w:numPr>
          <w:ilvl w:val="0"/>
          <w:numId w:val="1"/>
        </w:numPr>
        <w:spacing w:after="60"/>
      </w:pPr>
      <w:r>
        <w:t xml:space="preserve">Portefeuille de logiciels : — (0/2 réponses · 0P / 0N)</w:t>
      </w:r>
    </w:p>
    <w:p>
      <w:pPr>
        <w:pStyle w:val="ListParagraph"/>
        <w:numPr>
          <w:ilvl w:val="0"/>
          <w:numId w:val="1"/>
        </w:numPr>
        <w:spacing w:after="60"/>
      </w:pPr>
      <w:r>
        <w:t xml:space="preserve">Éditeurs et dépendances : — (0/2 réponses · 0P / 0N)</w:t>
      </w:r>
    </w:p>
    <w:p>
      <w:pPr>
        <w:pStyle w:val="ListParagraph"/>
        <w:numPr>
          <w:ilvl w:val="0"/>
          <w:numId w:val="1"/>
        </w:numPr>
        <w:spacing w:after="60"/>
      </w:pPr>
      <w:r>
        <w:t xml:space="preserve">Échanges entre logiciels : — (0/2 réponses · 0P / 0N)</w:t>
      </w:r>
    </w:p>
    <w:p>
      <w:pPr>
        <w:pStyle w:val="ListParagraph"/>
        <w:numPr>
          <w:ilvl w:val="0"/>
          <w:numId w:val="1"/>
        </w:numPr>
        <w:spacing w:after="60"/>
      </w:pPr>
      <w:r>
        <w:t xml:space="preserve">Données de référence et qualité : — (0/2 réponses · 0P / 0N)</w:t>
      </w:r>
    </w:p>
    <w:p>
      <w:pPr>
        <w:pStyle w:val="ListParagraph"/>
        <w:numPr>
          <w:ilvl w:val="0"/>
          <w:numId w:val="1"/>
        </w:numPr>
        <w:spacing w:after="60"/>
      </w:pPr>
      <w:r>
        <w:t xml:space="preserve">Stockage, accès et partage : — (0/2 réponses · 0P / 0N)</w:t>
      </w:r>
    </w:p>
    <w:p>
      <w:pPr>
        <w:pStyle w:val="ListParagraph"/>
        <w:numPr>
          <w:ilvl w:val="0"/>
          <w:numId w:val="1"/>
        </w:numPr>
        <w:spacing w:after="60"/>
      </w:pPr>
      <w:r>
        <w:t xml:space="preserve">Conservation et archivage : — (0/2 réponses · 0P / 0N)</w:t>
      </w:r>
    </w:p>
    <w:p>
      <w:pPr>
        <w:pStyle w:val="Heading3"/>
        <w:spacing w:after="80" w:before="200"/>
      </w:pPr>
      <w:r>
        <w:rPr>
          <w:b/>
          <w:bCs/>
          <w:sz w:val="22"/>
          <w:szCs w:val="22"/>
        </w:rPr>
        <w:t xml:space="preserve">Réseau et infrastructure — détail par catégorie</w:t>
      </w:r>
    </w:p>
    <w:p>
      <w:pPr>
        <w:pStyle w:val="ListParagraph"/>
        <w:numPr>
          <w:ilvl w:val="0"/>
          <w:numId w:val="1"/>
        </w:numPr>
        <w:spacing w:after="60"/>
      </w:pPr>
      <w:r>
        <w:t xml:space="preserve">Accès Internet et pare-feu : — (0/2 réponses · 0P / 0N)</w:t>
      </w:r>
    </w:p>
    <w:p>
      <w:pPr>
        <w:pStyle w:val="ListParagraph"/>
        <w:numPr>
          <w:ilvl w:val="0"/>
          <w:numId w:val="1"/>
        </w:numPr>
        <w:spacing w:after="60"/>
      </w:pPr>
      <w:r>
        <w:t xml:space="preserve">Réseau interne et cloisonnement : — (0/2 réponses · 0P / 0N)</w:t>
      </w:r>
    </w:p>
    <w:p>
      <w:pPr>
        <w:pStyle w:val="ListParagraph"/>
        <w:numPr>
          <w:ilvl w:val="0"/>
          <w:numId w:val="1"/>
        </w:numPr>
        <w:spacing w:after="60"/>
      </w:pPr>
      <w:r>
        <w:t xml:space="preserve">Wi-Fi : — (0/2 réponses · 0P / 0N)</w:t>
      </w:r>
    </w:p>
    <w:p>
      <w:pPr>
        <w:pStyle w:val="ListParagraph"/>
        <w:numPr>
          <w:ilvl w:val="0"/>
          <w:numId w:val="1"/>
        </w:numPr>
        <w:spacing w:after="60"/>
      </w:pPr>
      <w:r>
        <w:t xml:space="preserve">Accès à distance : — (0/2 réponses · 0P / 0N)</w:t>
      </w:r>
    </w:p>
    <w:p>
      <w:pPr>
        <w:pStyle w:val="ListParagraph"/>
        <w:numPr>
          <w:ilvl w:val="0"/>
          <w:numId w:val="1"/>
        </w:numPr>
        <w:spacing w:after="60"/>
      </w:pPr>
      <w:r>
        <w:t xml:space="preserve">Serveurs et stockage : — (0/2 réponses · 0P / 0N)</w:t>
      </w:r>
    </w:p>
    <w:p>
      <w:pPr>
        <w:pStyle w:val="ListParagraph"/>
        <w:numPr>
          <w:ilvl w:val="0"/>
          <w:numId w:val="1"/>
        </w:numPr>
        <w:spacing w:after="60"/>
      </w:pPr>
      <w:r>
        <w:t xml:space="preserve">Versions et fin de support : — (0/2 réponses · 0P / 0N)</w:t>
      </w:r>
    </w:p>
    <w:p>
      <w:pPr>
        <w:pStyle w:val="Heading3"/>
        <w:spacing w:after="80" w:before="200"/>
      </w:pPr>
      <w:r>
        <w:rPr>
          <w:b/>
          <w:bCs/>
          <w:sz w:val="22"/>
          <w:szCs w:val="22"/>
        </w:rPr>
        <w:t xml:space="preserve">Architecture et dette technique — détail par catégorie</w:t>
      </w:r>
    </w:p>
    <w:p>
      <w:pPr>
        <w:pStyle w:val="ListParagraph"/>
        <w:numPr>
          <w:ilvl w:val="0"/>
          <w:numId w:val="1"/>
        </w:numPr>
        <w:spacing w:after="60"/>
      </w:pPr>
      <w:r>
        <w:t xml:space="preserve">Vision cible : — (0/2 réponses · 0P / 0N)</w:t>
      </w:r>
    </w:p>
    <w:p>
      <w:pPr>
        <w:pStyle w:val="ListParagraph"/>
        <w:numPr>
          <w:ilvl w:val="0"/>
          <w:numId w:val="1"/>
        </w:numPr>
        <w:spacing w:after="60"/>
      </w:pPr>
      <w:r>
        <w:t xml:space="preserve">Dette technique : — (0/2 réponses · 0P / 0N)</w:t>
      </w:r>
    </w:p>
    <w:p>
      <w:pPr>
        <w:pStyle w:val="ListParagraph"/>
        <w:numPr>
          <w:ilvl w:val="0"/>
          <w:numId w:val="1"/>
        </w:numPr>
        <w:spacing w:after="60"/>
      </w:pPr>
      <w:r>
        <w:t xml:space="preserve">Outils faits maison : — (0/2 réponses · 0P / 0N)</w:t>
      </w:r>
    </w:p>
    <w:p>
      <w:pPr>
        <w:pStyle w:val="ListParagraph"/>
        <w:numPr>
          <w:ilvl w:val="0"/>
          <w:numId w:val="1"/>
        </w:numPr>
        <w:spacing w:after="60"/>
      </w:pPr>
      <w:r>
        <w:t xml:space="preserve">Relation avec les métiers : — (0/2 réponses · 0P / 0N)</w:t>
      </w:r>
    </w:p>
    <w:p>
      <w:pPr>
        <w:pStyle w:val="ListParagraph"/>
        <w:numPr>
          <w:ilvl w:val="0"/>
          <w:numId w:val="1"/>
        </w:numPr>
        <w:spacing w:after="60"/>
      </w:pPr>
      <w:r>
        <w:t xml:space="preserve">Compétences et capacités : — (0/2 réponses · 0P / 0N)</w:t>
      </w:r>
    </w:p>
    <w:p>
      <w:pPr>
        <w:pStyle w:val="ListParagraph"/>
        <w:numPr>
          <w:ilvl w:val="0"/>
          <w:numId w:val="1"/>
        </w:numPr>
        <w:spacing w:after="60"/>
      </w:pPr>
      <w:r>
        <w:t xml:space="preserve">Choix et réversibilité : — (0/2 réponses · 0P / 0N)</w:t>
      </w:r>
    </w:p>
    <w:p>
      <w:pPr>
        <w:pStyle w:val="Heading3"/>
        <w:spacing w:after="80" w:before="200"/>
      </w:pPr>
      <w:r>
        <w:rPr>
          <w:b/>
          <w:bCs/>
          <w:sz w:val="22"/>
          <w:szCs w:val="22"/>
        </w:rPr>
        <w:t xml:space="preserve">Conduite de projet — détail par catégorie</w:t>
      </w:r>
    </w:p>
    <w:p>
      <w:pPr>
        <w:pStyle w:val="ListParagraph"/>
        <w:numPr>
          <w:ilvl w:val="0"/>
          <w:numId w:val="1"/>
        </w:numPr>
        <w:spacing w:after="60"/>
      </w:pPr>
      <w:r>
        <w:t xml:space="preserve">Gouvernance des projets : — (0/3 réponses · 0P / 0N)</w:t>
      </w:r>
    </w:p>
    <w:p>
      <w:pPr>
        <w:pStyle w:val="ListParagraph"/>
        <w:numPr>
          <w:ilvl w:val="0"/>
          <w:numId w:val="1"/>
        </w:numPr>
        <w:spacing w:after="60"/>
      </w:pPr>
      <w:r>
        <w:t xml:space="preserve">Cadrage : — (0/3 réponses · 0P / 0N)</w:t>
      </w:r>
    </w:p>
    <w:p>
      <w:pPr>
        <w:pStyle w:val="ListParagraph"/>
        <w:numPr>
          <w:ilvl w:val="0"/>
          <w:numId w:val="1"/>
        </w:numPr>
        <w:spacing w:after="60"/>
      </w:pPr>
      <w:r>
        <w:t xml:space="preserve">Pilotage et suivi : — (0/3 réponses · 0P / 0N)</w:t>
      </w:r>
    </w:p>
    <w:p>
      <w:pPr>
        <w:pStyle w:val="ListParagraph"/>
        <w:numPr>
          <w:ilvl w:val="0"/>
          <w:numId w:val="1"/>
        </w:numPr>
        <w:spacing w:after="60"/>
      </w:pPr>
      <w:r>
        <w:t xml:space="preserve">Livraison et adoption : — (0/3 réponses · 0P / 0N)</w:t>
      </w:r>
    </w:p>
    <w:p>
      <w:pPr>
        <w:pStyle w:val="ListParagraph"/>
        <w:numPr>
          <w:ilvl w:val="0"/>
          <w:numId w:val="1"/>
        </w:numPr>
        <w:spacing w:after="60"/>
      </w:pPr>
      <w:r>
        <w:t xml:space="preserve">Clôture : — (0/3 réponses · 0P / 0N)</w:t>
      </w:r>
    </w:p>
    <w:p>
      <w:pPr>
        <w:pStyle w:val="Heading3"/>
        <w:spacing w:after="80" w:before="200"/>
      </w:pPr>
      <w:r>
        <w:rPr>
          <w:b/>
          <w:bCs/>
          <w:sz w:val="22"/>
          <w:szCs w:val="22"/>
        </w:rPr>
        <w:t xml:space="preserve">Reprise de projet — détail par catégorie</w:t>
      </w:r>
    </w:p>
    <w:p>
      <w:pPr>
        <w:pStyle w:val="ListParagraph"/>
        <w:numPr>
          <w:ilvl w:val="0"/>
          <w:numId w:val="1"/>
        </w:numPr>
        <w:spacing w:after="60"/>
      </w:pPr>
      <w:r>
        <w:t xml:space="preserve">Décision : — (0/2 réponses · 0P / 0N)</w:t>
      </w:r>
    </w:p>
    <w:p>
      <w:pPr>
        <w:pStyle w:val="ListParagraph"/>
        <w:numPr>
          <w:ilvl w:val="0"/>
          <w:numId w:val="1"/>
        </w:numPr>
        <w:spacing w:after="60"/>
      </w:pPr>
      <w:r>
        <w:t xml:space="preserve">Responsabilité : — (0/2 réponses · 0P / 0N)</w:t>
      </w:r>
    </w:p>
    <w:p>
      <w:pPr>
        <w:pStyle w:val="ListParagraph"/>
        <w:numPr>
          <w:ilvl w:val="0"/>
          <w:numId w:val="1"/>
        </w:numPr>
        <w:spacing w:after="60"/>
      </w:pPr>
      <w:r>
        <w:t xml:space="preserve">Échéance : — (0/2 réponses · 0P / 0N)</w:t>
      </w:r>
    </w:p>
    <w:p>
      <w:pPr>
        <w:pStyle w:val="ListParagraph"/>
        <w:numPr>
          <w:ilvl w:val="0"/>
          <w:numId w:val="1"/>
        </w:numPr>
        <w:spacing w:after="60"/>
      </w:pPr>
      <w:r>
        <w:t xml:space="preserve">Budget : — (0/2 réponses · 0P / 0N)</w:t>
      </w:r>
    </w:p>
    <w:p>
      <w:pPr>
        <w:pStyle w:val="ListParagraph"/>
        <w:numPr>
          <w:ilvl w:val="0"/>
          <w:numId w:val="1"/>
        </w:numPr>
        <w:spacing w:after="60"/>
      </w:pPr>
      <w:r>
        <w:t xml:space="preserve">Risques : — (0/2 réponses · 0P / 0N)</w:t>
      </w:r>
    </w:p>
    <w:p>
      <w:pPr>
        <w:pStyle w:val="ListParagraph"/>
        <w:numPr>
          <w:ilvl w:val="0"/>
          <w:numId w:val="1"/>
        </w:numPr>
        <w:spacing w:after="60"/>
      </w:pPr>
      <w:r>
        <w:t xml:space="preserve">Statut affiché : — (0/2 réponses · 0P / 0N)</w:t>
      </w:r>
    </w:p>
    <w:p>
      <w:pPr>
        <w:pStyle w:val="ListParagraph"/>
        <w:numPr>
          <w:ilvl w:val="0"/>
          <w:numId w:val="1"/>
        </w:numPr>
        <w:spacing w:after="60"/>
      </w:pPr>
      <w:r>
        <w:t xml:space="preserve">Périmètre et arrêt : — (0/2 réponses · 0P / 0N)</w:t>
      </w:r>
    </w:p>
    <w:p>
      <w:pPr>
        <w:pStyle w:val="Heading3"/>
        <w:spacing w:after="80" w:before="200"/>
      </w:pPr>
      <w:r>
        <w:rPr>
          <w:b/>
          <w:bCs/>
          <w:sz w:val="22"/>
          <w:szCs w:val="22"/>
        </w:rPr>
        <w:t xml:space="preserve">Reprise de projet, 6 phrases — détail par catégorie</w:t>
      </w:r>
    </w:p>
    <w:p>
      <w:pPr>
        <w:pStyle w:val="ListParagraph"/>
        <w:numPr>
          <w:ilvl w:val="0"/>
          <w:numId w:val="1"/>
        </w:numPr>
        <w:spacing w:after="60"/>
      </w:pPr>
      <w:r>
        <w:t xml:space="preserve">Test des 6 phrases : — (0/6 réponses · 0P / 0N)</w:t>
      </w:r>
    </w:p>
    <w:p>
      <w:pPr>
        <w:pStyle w:val="ListParagraph"/>
        <w:numPr>
          <w:ilvl w:val="0"/>
          <w:numId w:val="1"/>
        </w:numPr>
        <w:spacing w:after="60"/>
      </w:pPr>
      <w:r>
        <w:t xml:space="preserve">Indicateurs de complexité : — (0/5 réponses · 0P / 0N)</w:t>
      </w:r>
    </w:p>
    <w:p>
      <w:pPr>
        <w:pStyle w:val="Heading3"/>
        <w:spacing w:after="80" w:before="200"/>
      </w:pPr>
      <w:r>
        <w:rPr>
          <w:b/>
          <w:bCs/>
          <w:sz w:val="22"/>
          <w:szCs w:val="22"/>
        </w:rPr>
        <w:t xml:space="preserve">Sensibilisation — détail par catégorie</w:t>
      </w:r>
    </w:p>
    <w:p>
      <w:pPr>
        <w:pStyle w:val="ListParagraph"/>
        <w:numPr>
          <w:ilvl w:val="0"/>
          <w:numId w:val="1"/>
        </w:numPr>
        <w:spacing w:after="60"/>
      </w:pPr>
      <w:r>
        <w:t xml:space="preserve">Programme de sensibilisation : — (0/2 réponses · 0P / 0N)</w:t>
      </w:r>
    </w:p>
    <w:p>
      <w:pPr>
        <w:pStyle w:val="ListParagraph"/>
        <w:numPr>
          <w:ilvl w:val="0"/>
          <w:numId w:val="1"/>
        </w:numPr>
        <w:spacing w:after="60"/>
      </w:pPr>
      <w:r>
        <w:t xml:space="preserve">Campagnes phishing simulé : — (0/2 réponses · 0P / 0N)</w:t>
      </w:r>
    </w:p>
    <w:p>
      <w:pPr>
        <w:pStyle w:val="ListParagraph"/>
        <w:numPr>
          <w:ilvl w:val="0"/>
          <w:numId w:val="1"/>
        </w:numPr>
        <w:spacing w:after="60"/>
      </w:pPr>
      <w:r>
        <w:t xml:space="preserve">Communication interne &amp; supports : — (0/2 réponses · 0P / 0N)</w:t>
      </w:r>
    </w:p>
    <w:p>
      <w:pPr>
        <w:pStyle w:val="ListParagraph"/>
        <w:numPr>
          <w:ilvl w:val="0"/>
          <w:numId w:val="1"/>
        </w:numPr>
        <w:spacing w:after="60"/>
      </w:pPr>
      <w:r>
        <w:t xml:space="preserve">Suivi &amp; indicateurs : — (0/2 réponses · 0P / 0N)</w:t>
      </w:r>
    </w:p>
    <w:p>
      <w:pPr>
        <w:pStyle w:val="ListParagraph"/>
        <w:numPr>
          <w:ilvl w:val="0"/>
          <w:numId w:val="1"/>
        </w:numPr>
        <w:spacing w:after="60"/>
      </w:pPr>
      <w:r>
        <w:t xml:space="preserve">Sponsoring management &amp; intégration gouvernance : — (0/2 réponses · 0P / 0N)</w:t>
      </w:r>
    </w:p>
    <w:p>
      <w:pPr>
        <w:pStyle w:val="Heading3"/>
        <w:spacing w:after="80" w:before="200"/>
      </w:pPr>
      <w:r>
        <w:rPr>
          <w:b/>
          <w:bCs/>
          <w:sz w:val="22"/>
          <w:szCs w:val="22"/>
        </w:rPr>
        <w:t xml:space="preserve">Google Workspace — détail par catégorie</w:t>
      </w:r>
    </w:p>
    <w:p>
      <w:pPr>
        <w:pStyle w:val="ListParagraph"/>
        <w:numPr>
          <w:ilvl w:val="0"/>
          <w:numId w:val="1"/>
        </w:numPr>
        <w:spacing w:after="60"/>
      </w:pPr>
      <w:r>
        <w:t xml:space="preserve">Identite &amp; 2SV : — (0/5 réponses · 0P / 0N)</w:t>
      </w:r>
    </w:p>
    <w:p>
      <w:pPr>
        <w:pStyle w:val="ListParagraph"/>
        <w:numPr>
          <w:ilvl w:val="0"/>
          <w:numId w:val="1"/>
        </w:numPr>
        <w:spacing w:after="60"/>
      </w:pPr>
      <w:r>
        <w:t xml:space="preserve">Partage &amp; DLP : — (0/4 réponses · 0P / 0N)</w:t>
      </w:r>
    </w:p>
    <w:p>
      <w:pPr>
        <w:pStyle w:val="ListParagraph"/>
        <w:numPr>
          <w:ilvl w:val="0"/>
          <w:numId w:val="1"/>
        </w:numPr>
        <w:spacing w:after="60"/>
      </w:pPr>
      <w:r>
        <w:t xml:space="preserve">Securite email : — (0/3 réponses · 0P / 0N)</w:t>
      </w:r>
    </w:p>
    <w:p>
      <w:pPr>
        <w:pStyle w:val="ListParagraph"/>
        <w:numPr>
          <w:ilvl w:val="0"/>
          <w:numId w:val="1"/>
        </w:numPr>
        <w:spacing w:after="60"/>
      </w:pPr>
      <w:r>
        <w:t xml:space="preserve">Mobilite : — (0/2 réponses · 0P / 0N)</w:t>
      </w:r>
    </w:p>
    <w:p>
      <w:pPr>
        <w:pStyle w:val="ListParagraph"/>
        <w:numPr>
          <w:ilvl w:val="0"/>
          <w:numId w:val="1"/>
        </w:numPr>
        <w:spacing w:after="60"/>
      </w:pPr>
      <w:r>
        <w:t xml:space="preserve">Gouvernance : — (0/3 réponses · 0P / 0N)</w:t>
      </w:r>
    </w:p>
    <w:p>
      <w:pPr>
        <w:pStyle w:val="ListParagraph"/>
        <w:numPr>
          <w:ilvl w:val="0"/>
          <w:numId w:val="1"/>
        </w:numPr>
        <w:spacing w:after="60"/>
      </w:pPr>
      <w:r>
        <w:t xml:space="preserve">Conformite : — (0/3 réponses · 0P / 0N)</w:t>
      </w:r>
    </w:p>
    <w:p>
      <w:pPr>
        <w:pStyle w:val="Heading3"/>
        <w:spacing w:after="80" w:before="200"/>
      </w:pPr>
      <w:r>
        <w:rPr>
          <w:b/>
          <w:bCs/>
          <w:sz w:val="22"/>
          <w:szCs w:val="22"/>
        </w:rPr>
        <w:t xml:space="preserve">FinOps — détail par catégorie</w:t>
      </w:r>
    </w:p>
    <w:p>
      <w:pPr>
        <w:pStyle w:val="ListParagraph"/>
        <w:numPr>
          <w:ilvl w:val="0"/>
          <w:numId w:val="1"/>
        </w:numPr>
        <w:spacing w:after="60"/>
      </w:pPr>
      <w:r>
        <w:t xml:space="preserve">Visibilité &amp; allocation : — (0/4 réponses · 0P / 0N)</w:t>
      </w:r>
    </w:p>
    <w:p>
      <w:pPr>
        <w:pStyle w:val="ListParagraph"/>
        <w:numPr>
          <w:ilvl w:val="0"/>
          <w:numId w:val="1"/>
        </w:numPr>
        <w:spacing w:after="60"/>
      </w:pPr>
      <w:r>
        <w:t xml:space="preserve">Licences &amp; SaaS : — (0/5 réponses · 0P / 0N)</w:t>
      </w:r>
    </w:p>
    <w:p>
      <w:pPr>
        <w:pStyle w:val="ListParagraph"/>
        <w:numPr>
          <w:ilvl w:val="0"/>
          <w:numId w:val="1"/>
        </w:numPr>
        <w:spacing w:after="60"/>
      </w:pPr>
      <w:r>
        <w:t xml:space="preserve">Cloud &amp; infrastructure : — (0/4 réponses · 0P / 0N)</w:t>
      </w:r>
    </w:p>
    <w:p>
      <w:pPr>
        <w:pStyle w:val="ListParagraph"/>
        <w:numPr>
          <w:ilvl w:val="0"/>
          <w:numId w:val="1"/>
        </w:numPr>
        <w:spacing w:after="60"/>
      </w:pPr>
      <w:r>
        <w:t xml:space="preserve">FinOps IA : — (0/5 réponses · 0P / 0N)</w:t>
      </w:r>
    </w:p>
    <w:p>
      <w:pPr>
        <w:pStyle w:val="ListParagraph"/>
        <w:numPr>
          <w:ilvl w:val="0"/>
          <w:numId w:val="1"/>
        </w:numPr>
        <w:spacing w:after="60"/>
      </w:pPr>
      <w:r>
        <w:t xml:space="preserve">Gouvernance &amp; processus : — (0/4 réponses · 0P / 0N)</w:t>
      </w:r>
    </w:p>
    <w:p>
      <w:pPr>
        <w:pStyle w:val="ListParagraph"/>
        <w:numPr>
          <w:ilvl w:val="0"/>
          <w:numId w:val="1"/>
        </w:numPr>
        <w:spacing w:after="60"/>
      </w:pPr>
      <w:r>
        <w:t xml:space="preserve">Sobriété &amp; durabilité : — (0/2 réponses · 0P / 0N)</w:t>
      </w:r>
    </w:p>
    <w:p>
      <w:pPr>
        <w:pStyle w:val="Heading3"/>
        <w:spacing w:after="80" w:before="200"/>
      </w:pPr>
      <w:r>
        <w:rPr>
          <w:b/>
          <w:bCs/>
          <w:sz w:val="22"/>
          <w:szCs w:val="22"/>
        </w:rPr>
        <w:t xml:space="preserve">Données manquantes critiques</w:t>
      </w:r>
    </w:p>
    <w:p>
      <w:pPr>
        <w:pStyle w:val="ListParagraph"/>
        <w:numPr>
          <w:ilvl w:val="0"/>
          <w:numId w:val="1"/>
        </w:numPr>
        <w:spacing w:after="60"/>
      </w:pPr>
      <w:r>
        <w:t xml:space="preserve">Sponsor mission non désigné</w:t>
      </w:r>
    </w:p>
    <w:p>
      <w:pPr>
        <w:pStyle w:val="Heading1"/>
        <w:pageBreakBefore/>
        <w:spacing w:after="160" w:before="320"/>
      </w:pPr>
      <w:r>
        <w:rPr>
          <w:b/>
          <w:bCs/>
          <w:color w:val="6366F1"/>
          <w:sz w:val="36"/>
          <w:szCs w:val="36"/>
        </w:rPr>
        <w:t xml:space="preserve">5. Constats par axe</w:t>
      </w:r>
    </w:p>
    <w:p>
      <w:pPr>
        <w:pStyle w:val="Heading2"/>
        <w:spacing w:after="120" w:before="240"/>
      </w:pPr>
      <w:r>
        <w:rPr>
          <w:b/>
          <w:bCs/>
          <w:color w:val="6366F1"/>
          <w:sz w:val="26"/>
          <w:szCs w:val="26"/>
        </w:rPr>
        <w:t xml:space="preserve">RGPD — Conformité réglementaire &amp; gouvernance des données personnelles (score 3.5/100)</w:t>
      </w:r>
    </w:p>
    <w:p>
      <w:pPr>
        <w:spacing w:after="120"/>
      </w:pPr>
      <w:r>
        <w:t xml:space="preserve">Garonne Industries présente une conformité RGPD structurellement lacunaire : sur 16 points évalués, 8 signaux négatifs (4 Non, 4 Partiel) révèlent l'absence de fondations opérationnelles essentielles. Le registre des traitements (RGPD03) n'existe pas ou n'est pas tenu à jour, ce qui rend toute démonstration de conformité impossible face à un contrôle CNIL — risque critique au regard de l'enjeu </w:t>
      </w:r>
      <w:r>
        <w:rPr>
          <w:b/>
          <w:bCs/>
        </w:rPr>
        <w:t xml:space="preserve">conformité-réglementaire</w:t>
      </w:r>
      <w:r>
        <w:t xml:space="preserve">. La sécurité technique des données (RGPD11) est insuffisante : pas de chiffrement systématique, ni de contrôle d'accès par profil, ni de journalisation — exposition directe aux risques </w:t>
      </w:r>
      <w:r>
        <w:rPr>
          <w:b/>
          <w:bCs/>
        </w:rPr>
        <w:t xml:space="preserve">cybersécurité</w:t>
      </w:r>
      <w:r>
        <w:t xml:space="preserve"> dans un contexte industriel où les données de production et RH sont sensibles. Les procédures de gestion des droits des personnes (RGPD07) sont absentes, ce qui constitue une infraction caractérisée exposant l'entreprise à des sanctions financières et à un risque réputationnel amplifié en cas de </w:t>
      </w:r>
      <w:r>
        <w:rPr>
          <w:b/>
          <w:bCs/>
        </w:rPr>
        <w:t xml:space="preserve">croissance externe</w:t>
      </w:r>
      <w:r>
        <w:t xml:space="preserve"> (due diligence acquéreur). Les points partiels — DPO sans indépendance garantie (RGPD01), DPIA non systématique (RGPD05), clauses sous-traitants incomplètes (RGPD13) — fragilisent également la </w:t>
      </w:r>
      <w:r>
        <w:rPr>
          <w:b/>
          <w:bCs/>
        </w:rPr>
        <w:t xml:space="preserve">transformation digitale</w:t>
      </w:r>
      <w:r>
        <w:t xml:space="preserve"> en cours, chaque nouveau projet SaaS ou outil métier ajoutant du risque non maîtrisé.</w:t>
      </w:r>
    </w:p>
    <w:p>
      <w:pPr>
        <w:pStyle w:val="ListParagraph"/>
        <w:numPr>
          <w:ilvl w:val="0"/>
          <w:numId w:val="1"/>
        </w:numPr>
        <w:spacing w:after="60"/>
      </w:pPr>
      <w:r>
        <w:t xml:space="preserve">RGPD03 Non — Registre des traitements absent ou non maintenu : base légale, durées de conservation non documentées</w:t>
      </w:r>
    </w:p>
    <w:p>
      <w:pPr>
        <w:pStyle w:val="ListParagraph"/>
        <w:numPr>
          <w:ilvl w:val="0"/>
          <w:numId w:val="1"/>
        </w:numPr>
        <w:spacing w:after="60"/>
      </w:pPr>
      <w:r>
        <w:t xml:space="preserve">RGPD11 Non — Pas de chiffrement des données sensibles, ni contrôle d'accès par profil, ni journalisation</w:t>
      </w:r>
    </w:p>
    <w:p>
      <w:pPr>
        <w:pStyle w:val="ListParagraph"/>
        <w:numPr>
          <w:ilvl w:val="0"/>
          <w:numId w:val="1"/>
        </w:numPr>
        <w:spacing w:after="60"/>
      </w:pPr>
      <w:r>
        <w:t xml:space="preserve">RGPD07 Non — Aucune procédure formalisée pour traiter les demandes d'exercice de droits dans le délai légal d'un mois</w:t>
      </w:r>
    </w:p>
    <w:p>
      <w:pPr>
        <w:pStyle w:val="ListParagraph"/>
        <w:numPr>
          <w:ilvl w:val="0"/>
          <w:numId w:val="1"/>
        </w:numPr>
        <w:spacing w:after="60"/>
      </w:pPr>
      <w:r>
        <w:t xml:space="preserve">RGPD15 Non — Zéro programme de sensibilisation RGPD déployé pour les collaborateurs</w:t>
      </w:r>
    </w:p>
    <w:p>
      <w:pPr>
        <w:pStyle w:val="ListParagraph"/>
        <w:numPr>
          <w:ilvl w:val="0"/>
          <w:numId w:val="1"/>
        </w:numPr>
        <w:spacing w:after="60"/>
      </w:pPr>
      <w:r>
        <w:t xml:space="preserve">RGPD01 Partiel — DPO désigné mais indépendance hiérarchique et fiche de mission non garanties</w:t>
      </w:r>
    </w:p>
    <w:p>
      <w:pPr>
        <w:pStyle w:val="ListParagraph"/>
        <w:numPr>
          <w:ilvl w:val="0"/>
          <w:numId w:val="1"/>
        </w:numPr>
        <w:spacing w:after="60"/>
      </w:pPr>
      <w:r>
        <w:t xml:space="preserve">RGPD13 Partiel — Clauses art. 28 RGPD incomplètes dans les contrats hébergeurs/SaaS/prestataires IT</w:t>
      </w:r>
    </w:p>
    <w:p>
      <w:pPr>
        <w:pStyle w:val="Heading2"/>
        <w:spacing w:after="120" w:before="240"/>
      </w:pPr>
      <w:r>
        <w:rPr>
          <w:b/>
          <w:bCs/>
          <w:color w:val="6366F1"/>
          <w:sz w:val="26"/>
          <w:szCs w:val="26"/>
        </w:rPr>
        <w:t xml:space="preserve">Modern Workplace — Endpoint &amp; sécurité poste (score 52/100)</w:t>
      </w:r>
    </w:p>
    <w:p>
      <w:pPr>
        <w:spacing w:after="120"/>
      </w:pPr>
      <w:r>
        <w:t xml:space="preserve">Garonne Industries présente un socle Modern Workplace </w:t>
      </w:r>
      <w:r>
        <w:rPr>
          <w:b/>
          <w:bCs/>
        </w:rPr>
        <w:t xml:space="preserve">fragmenté et exposé</w:t>
      </w:r>
      <w:r>
        <w:t xml:space="preserve">, avec seulement 13 réponses positives sur 25 : les signaux critiques se concentrent sur la </w:t>
      </w:r>
      <w:r>
        <w:rPr>
          <w:b/>
          <w:bCs/>
        </w:rPr>
        <w:t xml:space="preserve">gestion des postes et la sauvegarde</w:t>
      </w:r>
      <w:r>
        <w:t xml:space="preserve">, deux piliers directement liés aux enjeux de cybersécurité et de conformité réglementaire. L'absence de MDM/UEM (MW11 Non) signifie que les postes ne sont ni supervisés, ni durcis, ni conformes à une politique centralisée — une faille majeure en contexte de croissance externe où de nouveaux équipements s'intègrent sans filet. Le patching non maîtrisé sous 30 jours (MW15 Non) laisse la surface d'attaque ouverte, tandis que le chiffrement disque partiel (MW14 Partiel) expose les données en cas de perte ou vol d'un poste terrain. Côté collaboration, le stockage de fichiers dispersé sur les postes (MW07 Non) et la suite collaborative non unifiée (MW06 Partiel) freinent la transformation digitale et créent des silos de données incontrôlables. Enfin, l'absence de règle 3-2-1 vérifiée (MW23 Non) et le SSO non déployé sur les SaaS (MW03 Non) complètent un tableau où </w:t>
      </w:r>
      <w:r>
        <w:rPr>
          <w:b/>
          <w:bCs/>
        </w:rPr>
        <w:t xml:space="preserve">la surface de risque opérationnel et réglementaire est significativement sous-estimée</w:t>
      </w:r>
      <w:r>
        <w:t xml:space="preserve">.</w:t>
      </w:r>
    </w:p>
    <w:p>
      <w:pPr>
        <w:pStyle w:val="ListParagraph"/>
        <w:numPr>
          <w:ilvl w:val="0"/>
          <w:numId w:val="1"/>
        </w:numPr>
        <w:spacing w:after="60"/>
      </w:pPr>
      <w:r>
        <w:t xml:space="preserve">MW11 Non — aucun MDM/UEM : postes non supervisés, politiques non appliquées</w:t>
      </w:r>
    </w:p>
    <w:p>
      <w:pPr>
        <w:pStyle w:val="ListParagraph"/>
        <w:numPr>
          <w:ilvl w:val="0"/>
          <w:numId w:val="1"/>
        </w:numPr>
        <w:spacing w:after="60"/>
      </w:pPr>
      <w:r>
        <w:t xml:space="preserve">MW15 Non — patchs OS/logiciels non suivis sous 30 jours, console absente</w:t>
      </w:r>
    </w:p>
    <w:p>
      <w:pPr>
        <w:pStyle w:val="ListParagraph"/>
        <w:numPr>
          <w:ilvl w:val="0"/>
          <w:numId w:val="1"/>
        </w:numPr>
        <w:spacing w:after="60"/>
      </w:pPr>
      <w:r>
        <w:t xml:space="preserve">MW23 Non — règle 3-2-1 non respectée, risque de perte de données critique</w:t>
      </w:r>
    </w:p>
    <w:p>
      <w:pPr>
        <w:pStyle w:val="ListParagraph"/>
        <w:numPr>
          <w:ilvl w:val="0"/>
          <w:numId w:val="1"/>
        </w:numPr>
        <w:spacing w:after="60"/>
      </w:pPr>
      <w:r>
        <w:t xml:space="preserve">MW03 Non — SSO absent sur les SaaS, mots de passe par application</w:t>
      </w:r>
    </w:p>
    <w:p>
      <w:pPr>
        <w:pStyle w:val="ListParagraph"/>
        <w:numPr>
          <w:ilvl w:val="0"/>
          <w:numId w:val="1"/>
        </w:numPr>
        <w:spacing w:after="60"/>
      </w:pPr>
      <w:r>
        <w:t xml:space="preserve">MW07 Non — fichiers dispersés sur les postes, pas de stockage centralisé</w:t>
      </w:r>
    </w:p>
    <w:p>
      <w:pPr>
        <w:pStyle w:val="ListParagraph"/>
        <w:numPr>
          <w:ilvl w:val="0"/>
          <w:numId w:val="1"/>
        </w:numPr>
        <w:spacing w:after="60"/>
      </w:pPr>
      <w:r>
        <w:t xml:space="preserve">MW14 Partiel — chiffrement disque incomplet, exposition en cas de vol/perte</w:t>
      </w:r>
    </w:p>
    <w:p>
      <w:pPr>
        <w:pStyle w:val="Heading2"/>
        <w:spacing w:after="120" w:before="240"/>
      </w:pPr>
      <w:r>
        <w:rPr>
          <w:b/>
          <w:bCs/>
          <w:color w:val="6366F1"/>
          <w:sz w:val="26"/>
          <w:szCs w:val="26"/>
        </w:rPr>
        <w:t xml:space="preserve">Gestion des risques IT/Cyber — Gouvernance &amp; pilotage des risques</w:t>
      </w:r>
    </w:p>
    <w:p>
      <w:pPr>
        <w:spacing w:after="120"/>
      </w:pPr>
      <w:r>
        <w:t xml:space="preserve">Garonne Industries présente une maturité très insuffisante en gestion des risques IT/cyber : aucune des 12 questions n'obtient de réponse positive, et les quatre réponses « Non » touchent précisément les fondations du dispositif — absence de politique formalisée et validée par la direction (RISK01), absence d'analyse couvrant les scénarios stratégiques et opérationnels (RISK04), absence de décisions documentées de traitement pour chaque risque identifié (RISK07), et absence total de KRI reportés au management (RISK10). Ce vide est critique au regard des enjeux de conformité réglementaire et de cybersécurité : sans politique ni méthodologie structurée, l'entreprise ne peut démontrer aucune diligence raisonnable face à un audit NIS2, RGPD ou client industriel. Les réponses « Partiel » révèlent des embryons de pratiques (registre existant mais incomplet, plans de traitement partiellement intégrés au plan IT, remontées ponctuelles au CODIR) qui restent non consolidés, non outillés et non pilotés — ce qui fragilise également les projets de croissance externe, où la due diligence cyber est désormais systématique. La priorité absolue est de formaliser une politique risques validée en CODIR, d'adopter une méthodologie légère (ISO 31000 simplifiée) et de mettre en place un registre vivant avec KRI mensuels, avant toute accélération de la transformation digitale.</w:t>
      </w:r>
    </w:p>
    <w:p>
      <w:pPr>
        <w:pStyle w:val="ListParagraph"/>
        <w:numPr>
          <w:ilvl w:val="0"/>
          <w:numId w:val="1"/>
        </w:numPr>
        <w:spacing w:after="60"/>
      </w:pPr>
      <w:r>
        <w:t xml:space="preserve">RISK01 Non — Aucune politique risques IT/cyber formalisée ni validée par la direction</w:t>
      </w:r>
    </w:p>
    <w:p>
      <w:pPr>
        <w:pStyle w:val="ListParagraph"/>
        <w:numPr>
          <w:ilvl w:val="0"/>
          <w:numId w:val="1"/>
        </w:numPr>
        <w:spacing w:after="60"/>
      </w:pPr>
      <w:r>
        <w:t xml:space="preserve">RISK04 Non — Pas d'analyse couvrant scénarios stratégiques (sources de menace) ni opérationnels (chemins d'attaque)</w:t>
      </w:r>
    </w:p>
    <w:p>
      <w:pPr>
        <w:pStyle w:val="ListParagraph"/>
        <w:numPr>
          <w:ilvl w:val="0"/>
          <w:numId w:val="1"/>
        </w:numPr>
        <w:spacing w:after="60"/>
      </w:pPr>
      <w:r>
        <w:t xml:space="preserve">RISK07 Non — Aucune décision documentée de traitement (réduction, transfert, acceptation) par risque identifié</w:t>
      </w:r>
    </w:p>
    <w:p>
      <w:pPr>
        <w:pStyle w:val="ListParagraph"/>
        <w:numPr>
          <w:ilvl w:val="0"/>
          <w:numId w:val="1"/>
        </w:numPr>
        <w:spacing w:after="60"/>
      </w:pPr>
      <w:r>
        <w:t xml:space="preserve">RISK10 Non — Zéro KRI défini ; le profil de risque n'est pas reporté à la direction</w:t>
      </w:r>
    </w:p>
    <w:p>
      <w:pPr>
        <w:pStyle w:val="ListParagraph"/>
        <w:numPr>
          <w:ilvl w:val="0"/>
          <w:numId w:val="1"/>
        </w:numPr>
        <w:spacing w:after="60"/>
      </w:pPr>
      <w:r>
        <w:t xml:space="preserve">RISK05 Partiel — Registre existant mais cotation et risque résiduel incomplets</w:t>
      </w:r>
    </w:p>
    <w:p>
      <w:pPr>
        <w:pStyle w:val="ListParagraph"/>
        <w:numPr>
          <w:ilvl w:val="0"/>
          <w:numId w:val="1"/>
        </w:numPr>
        <w:spacing w:after="60"/>
      </w:pPr>
      <w:r>
        <w:t xml:space="preserve">RISK11 Partiel — Résultats risques présentés au CODIR de façon non systématique, sans alimentation budgétaire structurée</w:t>
      </w:r>
    </w:p>
    <w:p>
      <w:pPr>
        <w:pStyle w:val="Heading2"/>
        <w:spacing w:after="120" w:before="240"/>
      </w:pPr>
      <w:r>
        <w:rPr>
          <w:b/>
          <w:bCs/>
          <w:color w:val="6366F1"/>
          <w:sz w:val="26"/>
          <w:szCs w:val="26"/>
        </w:rPr>
        <w:t xml:space="preserve">Diag IT N1 – Diagnostic Express — Cybersécurité &amp; Identité / Accès (score 38/100)</w:t>
      </w:r>
    </w:p>
    <w:p>
      <w:pPr>
        <w:spacing w:after="120"/>
      </w:pPr>
      <w:r>
        <w:t xml:space="preserve">Garonne Industries présente un profil de risque cyber </w:t>
      </w:r>
      <w:r>
        <w:rPr>
          <w:b/>
          <w:bCs/>
        </w:rPr>
        <w:t xml:space="preserve">critique</w:t>
      </w:r>
      <w:r>
        <w:t xml:space="preserve"> pour une ETI industrielle exposée à des enjeux de conformité réglementaire et de croissance externe : la MFA n'est pas activée sur la messagerie ni les accès distants (Q03 Non), les comptes du quotidien disposent de droits administrateur sans séparation (Q23 Non), et aucun PRA/PCA opérationnel ne couvre un scénario ransomware (Q08 Non) — trois failles qui, combinées, constituent une surface d'attaque majeure et un risque d'indisponibilité totale non maîtrisé. La gestion des accès est partielle : les droits ne sont pas revus systématiquement lors des départs (Q04 Partiel), les mots de passe partagés ne sont pas encore centralisés dans un gestionnaire dédié (Q24 Partiel), et les journaux de sécurité ne sont pas exploités pour détecter les anomalies (Q06 Partiel), ce qui rend toute détection d'intrusion quasi impossible. Sur le plan réglementaire, l'absence de contrats prestataires couvrant sécurité et réversibilité (Q13 Non) fragilise directement les opérations de croissance externe, tandis que la trajectoire facturation électronique 2026 n'est pas arrêtée (Q18 Non) et l'exposition NIS2 n'est que partiellement évaluée (Q19 Partiel). La gouvernance SI reste floue (Q01 Partiel), sans pilote clairement mandaté, ce qui explique l'accumulation de ces angles morts et doit être traité en priorité absolue avant tout chantier de transformation digitale.</w:t>
      </w:r>
    </w:p>
    <w:p>
      <w:pPr>
        <w:pStyle w:val="ListParagraph"/>
        <w:numPr>
          <w:ilvl w:val="0"/>
          <w:numId w:val="1"/>
        </w:numPr>
        <w:spacing w:after="60"/>
      </w:pPr>
      <w:r>
        <w:t xml:space="preserve">Q03 Non – MFA absente sur messagerie et accès distants</w:t>
      </w:r>
    </w:p>
    <w:p>
      <w:pPr>
        <w:pStyle w:val="ListParagraph"/>
        <w:numPr>
          <w:ilvl w:val="0"/>
          <w:numId w:val="1"/>
        </w:numPr>
        <w:spacing w:after="60"/>
      </w:pPr>
      <w:r>
        <w:t xml:space="preserve">Q23 Non – Comptes admin non séparés des comptes quotidiens</w:t>
      </w:r>
    </w:p>
    <w:p>
      <w:pPr>
        <w:pStyle w:val="ListParagraph"/>
        <w:numPr>
          <w:ilvl w:val="0"/>
          <w:numId w:val="1"/>
        </w:numPr>
        <w:spacing w:after="60"/>
      </w:pPr>
      <w:r>
        <w:t xml:space="preserve">Q08 Non – Aucun PRA/PCA ransomware ou prestataire indisponible</w:t>
      </w:r>
    </w:p>
    <w:p>
      <w:pPr>
        <w:pStyle w:val="ListParagraph"/>
        <w:numPr>
          <w:ilvl w:val="0"/>
          <w:numId w:val="1"/>
        </w:numPr>
        <w:spacing w:after="60"/>
      </w:pPr>
      <w:r>
        <w:t xml:space="preserve">Q13 Non – Contrats prestataires sans clause sécurité ni réversibilité</w:t>
      </w:r>
    </w:p>
    <w:p>
      <w:pPr>
        <w:pStyle w:val="ListParagraph"/>
        <w:numPr>
          <w:ilvl w:val="0"/>
          <w:numId w:val="1"/>
        </w:numPr>
        <w:spacing w:after="60"/>
      </w:pPr>
      <w:r>
        <w:t xml:space="preserve">Q18 Non – Trajectoire facturation électronique 2026 non arrêtée</w:t>
      </w:r>
    </w:p>
    <w:p>
      <w:pPr>
        <w:pStyle w:val="ListParagraph"/>
        <w:numPr>
          <w:ilvl w:val="0"/>
          <w:numId w:val="1"/>
        </w:numPr>
        <w:spacing w:after="60"/>
      </w:pPr>
      <w:r>
        <w:t xml:space="preserve">Q01 Partiel – Pilote SI non clairement identifié</w:t>
      </w:r>
    </w:p>
    <w:p>
      <w:pPr>
        <w:pStyle w:val="ListParagraph"/>
        <w:numPr>
          <w:ilvl w:val="0"/>
          <w:numId w:val="1"/>
        </w:numPr>
        <w:spacing w:after="60"/>
      </w:pPr>
      <w:r>
        <w:t xml:space="preserve">Q04 Partiel – Droits d'accès non revus, départs non désactivés rapidement</w:t>
      </w:r>
    </w:p>
    <w:p>
      <w:pPr>
        <w:pStyle w:val="ListParagraph"/>
        <w:numPr>
          <w:ilvl w:val="0"/>
          <w:numId w:val="1"/>
        </w:numPr>
        <w:spacing w:after="60"/>
      </w:pPr>
      <w:r>
        <w:t xml:space="preserve">Q19 Partiel – Périmètre NIS2 non évalué</w:t>
      </w:r>
    </w:p>
    <w:p>
      <w:pPr>
        <w:pStyle w:val="Heading2"/>
        <w:spacing w:after="120" w:before="240"/>
      </w:pPr>
      <w:r>
        <w:rPr>
          <w:b/>
          <w:bCs/>
          <w:color w:val="6366F1"/>
          <w:sz w:val="26"/>
          <w:szCs w:val="26"/>
        </w:rPr>
        <w:t xml:space="preserve">Diag IT N2 — Sécurité &amp; résilience (identité, réseau, continuité), sous-tendue par une gouvernance SI peu formalisée (score 66.7/100)</w:t>
      </w:r>
    </w:p>
    <w:p>
      <w:pPr>
        <w:spacing w:after="120"/>
      </w:pPr>
      <w:r>
        <w:t xml:space="preserve">Le socle est à moitié en place : 30 Oui sur 60, 20 Partiel et 10 Non, soit </w:t>
      </w:r>
      <w:r>
        <w:rPr>
          <w:b/>
          <w:bCs/>
        </w:rPr>
        <w:t xml:space="preserve">≈67 %</w:t>
      </w:r>
      <w:r>
        <w:t xml:space="preserve"> en pondérant un Partiel à 0,5. </w:t>
      </w:r>
      <w:r>
        <w:rPr>
          <w:b/>
          <w:bCs/>
        </w:rPr>
        <w:t xml:space="preserve">Critique, cybersécurité :</w:t>
      </w:r>
      <w:r>
        <w:t xml:space="preserve"> les trois portes d'entrée d'un ransomware restent ouvertes en même temps. Le moindre privilège n'est pas appliqué (A20 Non), les comptes admin ne sont que partiellement séparés et protégés par MFA (A17), et les protocoles obsolètes (SMBv1, NTLMv1, TLS 1.0) sont encore actifs (A50 Non). La segmentation réseau n'est que partielle (A47), ce qui est préoccupant dans un contexte industriel où postes, serveurs et IoT/atelier cohabitent. </w:t>
      </w:r>
      <w:r>
        <w:rPr>
          <w:b/>
          <w:bCs/>
        </w:rPr>
        <w:t xml:space="preserve">Élevé, conformité et continuité :</w:t>
      </w:r>
      <w:r>
        <w:t xml:space="preserve"> aucun exercice de crise depuis 12 mois (A44 Non), PRA incomplet sur le scénario ransomware (A43) et tests de restauration irréguliers (A41). Les données ne sont pas classifiées (A56 Non) et les DPA sous-traitants sont incomplets (A59). C'est exposant au titre du RGPD et, potentiellement, de NIS2 pour une ETI manufacturière de cette taille. </w:t>
      </w:r>
      <w:r>
        <w:rPr>
          <w:b/>
          <w:bCs/>
        </w:rPr>
        <w:t xml:space="preserve">Modéré mais structurant, transformation digitale et croissance externe :</w:t>
      </w:r>
      <w:r>
        <w:t xml:space="preserve"> il n'y a ni comité de pilotage IT avec la DG (A02 Non) ni schéma d'architecture à jour (A08 Non), et aucun plan pour les systèmes en fin de vie (A14 Non). Sans cette base documentée et pilotée, chaque acquisition et chaque projet digital ajoute de la dette et du risque au lieu de s'intégrer proprement.</w:t>
      </w:r>
    </w:p>
    <w:p>
      <w:pPr>
        <w:pStyle w:val="ListParagraph"/>
        <w:numPr>
          <w:ilvl w:val="0"/>
          <w:numId w:val="1"/>
        </w:numPr>
        <w:spacing w:after="60"/>
      </w:pPr>
      <w:r>
        <w:t xml:space="preserve">A20 Non : moindre privilège non appliqué</w:t>
      </w:r>
    </w:p>
    <w:p>
      <w:pPr>
        <w:pStyle w:val="ListParagraph"/>
        <w:numPr>
          <w:ilvl w:val="0"/>
          <w:numId w:val="1"/>
        </w:numPr>
        <w:spacing w:after="60"/>
      </w:pPr>
      <w:r>
        <w:t xml:space="preserve">A17 Partiel : comptes admin pas tous nominatifs/séparés/MFA</w:t>
      </w:r>
    </w:p>
    <w:p>
      <w:pPr>
        <w:pStyle w:val="ListParagraph"/>
        <w:numPr>
          <w:ilvl w:val="0"/>
          <w:numId w:val="1"/>
        </w:numPr>
        <w:spacing w:after="60"/>
      </w:pPr>
      <w:r>
        <w:t xml:space="preserve">A50 Non : SMBv1, NTLMv1, TLS 1.0 encore actifs</w:t>
      </w:r>
    </w:p>
    <w:p>
      <w:pPr>
        <w:pStyle w:val="ListParagraph"/>
        <w:numPr>
          <w:ilvl w:val="0"/>
          <w:numId w:val="1"/>
        </w:numPr>
        <w:spacing w:after="60"/>
      </w:pPr>
      <w:r>
        <w:t xml:space="preserve">A47 Partiel : segmentation postes/serveurs/IoT incomplète</w:t>
      </w:r>
    </w:p>
    <w:p>
      <w:pPr>
        <w:pStyle w:val="ListParagraph"/>
        <w:numPr>
          <w:ilvl w:val="0"/>
          <w:numId w:val="1"/>
        </w:numPr>
        <w:spacing w:after="60"/>
      </w:pPr>
      <w:r>
        <w:t xml:space="preserve">A44 Non : aucun exercice de crise cyber en 12 mois</w:t>
      </w:r>
    </w:p>
    <w:p>
      <w:pPr>
        <w:pStyle w:val="ListParagraph"/>
        <w:numPr>
          <w:ilvl w:val="0"/>
          <w:numId w:val="1"/>
        </w:numPr>
        <w:spacing w:after="60"/>
      </w:pPr>
      <w:r>
        <w:t xml:space="preserve">A43 Partiel : PRA ne couvre pas tous les scénarios dont ransomware</w:t>
      </w:r>
    </w:p>
    <w:p>
      <w:pPr>
        <w:pStyle w:val="ListParagraph"/>
        <w:numPr>
          <w:ilvl w:val="0"/>
          <w:numId w:val="1"/>
        </w:numPr>
        <w:spacing w:after="60"/>
      </w:pPr>
      <w:r>
        <w:t xml:space="preserve">A56 Non : données non classifiées</w:t>
      </w:r>
    </w:p>
    <w:p>
      <w:pPr>
        <w:pStyle w:val="ListParagraph"/>
        <w:numPr>
          <w:ilvl w:val="0"/>
          <w:numId w:val="1"/>
        </w:numPr>
        <w:spacing w:after="60"/>
      </w:pPr>
      <w:r>
        <w:t xml:space="preserve">A02 Non : pas de comité de pilotage IT avec la DG</w:t>
      </w:r>
    </w:p>
    <w:p>
      <w:pPr>
        <w:pStyle w:val="ListParagraph"/>
        <w:numPr>
          <w:ilvl w:val="0"/>
          <w:numId w:val="1"/>
        </w:numPr>
        <w:spacing w:after="60"/>
      </w:pPr>
      <w:r>
        <w:t xml:space="preserve">A08 Non : architecture réseau non documentée</w:t>
      </w:r>
    </w:p>
    <w:p>
      <w:pPr>
        <w:pStyle w:val="ListParagraph"/>
        <w:numPr>
          <w:ilvl w:val="0"/>
          <w:numId w:val="1"/>
        </w:numPr>
        <w:spacing w:after="60"/>
      </w:pPr>
      <w:r>
        <w:t xml:space="preserve">A14 Non : pas de plan de migration des systèmes en fin de vie</w:t>
      </w:r>
    </w:p>
    <w:p>
      <w:pPr>
        <w:pStyle w:val="Heading2"/>
        <w:spacing w:after="120" w:before="240"/>
      </w:pPr>
      <w:r>
        <w:rPr>
          <w:b/>
          <w:bCs/>
          <w:color w:val="6366F1"/>
          <w:sz w:val="26"/>
          <w:szCs w:val="26"/>
        </w:rPr>
        <w:t xml:space="preserve">Diagnostic Zero Trust — Identité (score 40/100)</w:t>
      </w:r>
    </w:p>
    <w:p>
      <w:pPr>
        <w:spacing w:after="120"/>
      </w:pPr>
      <w:r>
        <w:rPr>
          <w:b/>
          <w:bCs/>
        </w:rPr>
        <w:t xml:space="preserve">Le socle identité, prérequis de toute démarche Zero Trust, n'est pas en place : c'est le point critique de l'axe.</w:t>
      </w:r>
      <w:r>
        <w:t xml:space="preserve"> Score estimé à 40/100 (3 Oui, 6 Partiel, 6 Non ; pondération Oui = 1, Partiel = 0,5). Il n'existe ni annuaire central unique (ZT01), ni MFA généralisée (ZT02), ni authentification résistante au phishing sur les comptes sensibles (ZT06) : un simple vol de mot de passe peut suffire à compromettre le SI, et cette lacune sur la MFA ressortira dans tout audit de conformité (NIS2 si applicable, assureur cyber). Toujours au niveau critique, l'absence d'automatisation des arrivées, mobilités et départs (ZT07), combinée à des revues de droits seulement partielles (ZT05), laisse probablement des comptes orphelins actifs ; ce risque augmentera fortement à chaque acquisition, car il faudra intégrer les utilisateurs et les droits d'entités tierces sans référentiel cible. </w:t>
      </w:r>
      <w:r>
        <w:rPr>
          <w:b/>
          <w:bCs/>
        </w:rPr>
        <w:t xml:space="preserve">Niveau élevé</w:t>
      </w:r>
      <w:r>
        <w:t xml:space="preserve"> : sur les appareils, l'absence de gestion MDM/UEM (ZT11) et de contrôle de conformité avant accès (ZT12) empêche de conditionner l'accès à l'état du poste ; s'y ajoutent un EDR partiel (ZT13) et un inventaire incomplet, notamment des équipements OT (ZT10), une zone sensible dans l'industrie. </w:t>
      </w:r>
      <w:r>
        <w:rPr>
          <w:b/>
          <w:bCs/>
        </w:rPr>
        <w:t xml:space="preserve">Niveau modéré</w:t>
      </w:r>
      <w:r>
        <w:t xml:space="preserve"> : la gestion partielle des comptes à privilèges (ZT03), des comptes de service (ZT08) et la détection jailbreak/root sur mobiles (ZT15) sont à traiter une fois le socle identité consolidé.</w:t>
      </w:r>
    </w:p>
    <w:p>
      <w:pPr>
        <w:pStyle w:val="ListParagraph"/>
        <w:numPr>
          <w:ilvl w:val="0"/>
          <w:numId w:val="1"/>
        </w:numPr>
        <w:spacing w:after="60"/>
      </w:pPr>
      <w:r>
        <w:t xml:space="preserve">ZT01 Non : pas d'annuaire central unique (collaborateurs, prestataires, comptes de service)</w:t>
      </w:r>
    </w:p>
    <w:p>
      <w:pPr>
        <w:pStyle w:val="ListParagraph"/>
        <w:numPr>
          <w:ilvl w:val="0"/>
          <w:numId w:val="1"/>
        </w:numPr>
        <w:spacing w:after="60"/>
      </w:pPr>
      <w:r>
        <w:t xml:space="preserve">ZT02 Non : MFA non exigée sur 100 % des accès</w:t>
      </w:r>
    </w:p>
    <w:p>
      <w:pPr>
        <w:pStyle w:val="ListParagraph"/>
        <w:numPr>
          <w:ilvl w:val="0"/>
          <w:numId w:val="1"/>
        </w:numPr>
        <w:spacing w:after="60"/>
      </w:pPr>
      <w:r>
        <w:t xml:space="preserve">ZT06 Non : pas d'authentification résistante au phishing (FIDO2/certificat) sur les comptes sensibles</w:t>
      </w:r>
    </w:p>
    <w:p>
      <w:pPr>
        <w:pStyle w:val="ListParagraph"/>
        <w:numPr>
          <w:ilvl w:val="0"/>
          <w:numId w:val="1"/>
        </w:numPr>
        <w:spacing w:after="60"/>
      </w:pPr>
      <w:r>
        <w:t xml:space="preserve">ZT07 Non : arrivées, mobilités et départs non automatisés, désactivation des comptes non garantie sous 24 h</w:t>
      </w:r>
    </w:p>
    <w:p>
      <w:pPr>
        <w:pStyle w:val="ListParagraph"/>
        <w:numPr>
          <w:ilvl w:val="0"/>
          <w:numId w:val="1"/>
        </w:numPr>
        <w:spacing w:after="60"/>
      </w:pPr>
      <w:r>
        <w:t xml:space="preserve">ZT11/ZT12 Non : terminaux non enrôlés en MDM, accès non conditionné à la conformité du poste</w:t>
      </w:r>
    </w:p>
    <w:p>
      <w:pPr>
        <w:pStyle w:val="ListParagraph"/>
        <w:numPr>
          <w:ilvl w:val="0"/>
          <w:numId w:val="1"/>
        </w:numPr>
        <w:spacing w:after="60"/>
      </w:pPr>
      <w:r>
        <w:t xml:space="preserve">ZT10 Partiel : inventaire des terminaux incomplet, OT/IoT compris</w:t>
      </w:r>
    </w:p>
    <w:p>
      <w:pPr>
        <w:pStyle w:val="ListParagraph"/>
        <w:numPr>
          <w:ilvl w:val="0"/>
          <w:numId w:val="1"/>
        </w:numPr>
        <w:spacing w:after="60"/>
      </w:pPr>
      <w:r>
        <w:t xml:space="preserve">ZT13 Partiel : EDR non généralisé, supervision des alertes incomplète</w:t>
      </w:r>
    </w:p>
    <w:p>
      <w:pPr>
        <w:pStyle w:val="ListParagraph"/>
        <w:numPr>
          <w:ilvl w:val="0"/>
          <w:numId w:val="1"/>
        </w:numPr>
        <w:spacing w:after="60"/>
      </w:pPr>
      <w:r>
        <w:t xml:space="preserve">ZT03/ZT08 Partiel : comptes à privilèges et comptes de service partiellement maîtrisés</w:t>
      </w:r>
    </w:p>
    <w:p>
      <w:pPr>
        <w:pStyle w:val="Heading1"/>
        <w:pageBreakBefore/>
        <w:spacing w:after="160" w:before="320"/>
      </w:pPr>
      <w:r>
        <w:rPr>
          <w:b/>
          <w:bCs/>
          <w:color w:val="6366F1"/>
          <w:sz w:val="36"/>
          <w:szCs w:val="36"/>
        </w:rPr>
        <w:t xml:space="preserve">6. Croisement enjeux business / IT</w:t>
      </w:r>
    </w:p>
    <w:p>
      <w:pPr>
        <w:spacing w:after="120"/>
      </w:pPr>
      <w:r>
        <w:rPr>
          <w:b/>
          <w:bCs/>
        </w:rPr>
        <w:t xml:space="preserve">Cybersécurité et conformité réglementaire se recouvrent presque entièrement.</w:t>
      </w:r>
      <w:r>
        <w:t xml:space="preserve"> Les mesures exigées par NIS2 sont aussi celles qu'attendent les assureurs cyber et les donneurs d'ordre industriels : MFA, gestion des privilèges, continuité, gestion des risques, sécurité de la chaîne d'approvisionnement. Il en va de même de l'article 32 du RGPD (chiffrement, contrôle d'accès, journalisation). Un même chantier sert donc les deux enjeux, ce qui justifie de prioriser les fondations techniques et la gouvernance plutôt que des actions documentaires isolées. </w:t>
      </w:r>
      <w:r>
        <w:rPr>
          <w:b/>
          <w:bCs/>
        </w:rPr>
        <w:t xml:space="preserve">La croissance externe est l'enjeu le plus fragilisé.</w:t>
      </w:r>
      <w:r>
        <w:t xml:space="preserve"> Une due diligence révélerait aujourd'hui l'absence de registre RGPD, de PRA testé, de politique risques et de contrats prestataires couvrant sécurité et réversibilité. Cela pèserait sur la valorisation ou la capacité à rassurer un cédant. L'absence d'annuaire central et de processus arrivées/mobilités/départs (ZT01, ZT07) rendrait en outre l'intégration d'une cible longue et risquée.</w:t>
      </w:r>
    </w:p>
    <w:p>
      <w:pPr>
        <w:spacing w:after="120"/>
      </w:pPr>
      <w:r>
        <w:rPr>
          <w:b/>
          <w:bCs/>
        </w:rPr>
        <w:t xml:space="preserve">La transformation digitale doit être séquencée après le socle, pas en parallèle.</w:t>
      </w:r>
      <w:r>
        <w:t xml:space="preserve"> Le stockage dispersé sur les postes (MW07), l'absence de SSO sur les SaaS (MW03), de DPIA systématique (RGPD05) et de schéma d'architecture (A08) font que chaque nouvel outil métier accroît la surface de risque. La recommandation est de conditionner tout nouveau projet digital à trois prérequis : identité centralisée avec MFA, revue de sécurité et de conformité à l'entrée, et validation en comité IT. La transformation devient ainsi un levier de rationalisation plutôt qu'un facteur d'aggravation.</w:t>
      </w:r>
    </w:p>
    <w:p>
      <w:pPr>
        <w:pStyle w:val="Heading1"/>
        <w:pageBreakBefore/>
        <w:spacing w:after="160" w:before="320"/>
      </w:pPr>
      <w:r>
        <w:rPr>
          <w:b/>
          <w:bCs/>
          <w:color w:val="6366F1"/>
          <w:sz w:val="36"/>
          <w:szCs w:val="36"/>
        </w:rPr>
        <w:t xml:space="preserve">7. Risques prioritaires</w:t>
      </w:r>
    </w:p>
    <w:p>
      <w:pPr>
        <w:pStyle w:val="Heading2"/>
        <w:spacing w:after="120" w:before="240"/>
      </w:pPr>
      <w:r>
        <w:rPr>
          <w:b/>
          <w:bCs/>
          <w:color w:val="6366F1"/>
          <w:sz w:val="26"/>
          <w:szCs w:val="26"/>
        </w:rPr>
        <w:t xml:space="preserve">7.b Lecture consolidée</w:t>
      </w:r>
    </w:p>
    <w:p>
      <w:pPr>
        <w:spacing w:after="120"/>
      </w:pPr>
      <w:r>
        <w:rPr>
          <w:b/>
          <w:bCs/>
        </w:rPr>
        <w:t xml:space="preserve">1. Ransomware avec arrêt de production prolongé.</w:t>
      </w:r>
      <w:r>
        <w:t xml:space="preserve"> Ce risque cumule absence de MFA, droits admin généralisés, protocoles obsolètes, segmentation IT/OT partielle, sauvegardes non vérifiées et absence de PRA. Il peut entraîner plusieurs semaines d'arrêt des lignes, avec des pertes directes et contractuelles. </w:t>
      </w:r>
      <w:r>
        <w:rPr>
          <w:b/>
          <w:bCs/>
        </w:rPr>
        <w:t xml:space="preserve">2. Non-conformité NIS2 et RGPD indémontrable.</w:t>
      </w:r>
      <w:r>
        <w:t xml:space="preserve"> Sans registre des traitements, procédure de gestion des droits, politique risques ni gouvernance formalisée, l'entreprise s'expose à des sanctions administratives et à une mise en cause de la responsabilité des dirigeants, que NIS2 prévoit explicitement. </w:t>
      </w:r>
      <w:r>
        <w:rPr>
          <w:b/>
          <w:bCs/>
        </w:rPr>
        <w:t xml:space="preserve">3. Compromission de comptes et comptes orphelins.</w:t>
      </w:r>
      <w:r>
        <w:t xml:space="preserve"> L'absence d'annuaire central, d'automatisation des départs et de revue des droits permet à un ancien salarié ou à un attaquant d'utiliser des accès légitimes sans être détecté, d'autant que les journaux ne sont pas exploités. </w:t>
      </w:r>
      <w:r>
        <w:rPr>
          <w:b/>
          <w:bCs/>
        </w:rPr>
        <w:t xml:space="preserve">4. Échec ou dévalorisation d'une opération de croissance externe.</w:t>
      </w:r>
      <w:r>
        <w:t xml:space="preserve"> Une due diligence défavorable ou une intégration de cible qui importe des failles supplémentaires pourrait faire échouer ou dévaloriser l'opération. </w:t>
      </w:r>
      <w:r>
        <w:rPr>
          <w:b/>
          <w:bCs/>
        </w:rPr>
        <w:t xml:space="preserve">5. Dépendance non maîtrisée aux prestataires.</w:t>
      </w:r>
      <w:r>
        <w:t xml:space="preserve"> L'absence de clauses de sécurité, de réversibilité et de DPA expose à des incidents sur la chaîne d'approvisionnement et à un verrouillage fournisseur.</w:t>
      </w:r>
    </w:p>
    <w:p>
      <w:pPr>
        <w:pStyle w:val="Heading1"/>
        <w:pageBreakBefore/>
        <w:spacing w:after="160" w:before="320"/>
      </w:pPr>
      <w:r>
        <w:rPr>
          <w:b/>
          <w:bCs/>
          <w:color w:val="6366F1"/>
          <w:sz w:val="36"/>
          <w:szCs w:val="36"/>
        </w:rPr>
        <w:t xml:space="preserve">8. Plan d'action 30 / 60 / 90 jours</w:t>
      </w:r>
    </w:p>
    <w:p>
      <w:pPr>
        <w:pStyle w:val="Heading2"/>
        <w:spacing w:after="120" w:before="240"/>
      </w:pPr>
      <w:r>
        <w:rPr>
          <w:b/>
          <w:bCs/>
          <w:color w:val="6366F1"/>
          <w:sz w:val="26"/>
          <w:szCs w:val="26"/>
        </w:rPr>
        <w:t xml:space="preserve">Horizon 30j (4 actions)</w:t>
      </w:r>
    </w:p>
    <w:p>
      <w:pPr>
        <w:spacing w:after="40" w:before="120"/>
      </w:pPr>
      <w:r>
        <w:rPr>
          <w:b/>
          <w:bCs/>
          <w:color w:val="6366F1"/>
        </w:rPr>
        <w:t xml:space="preserve">Activer la MFA sur la messagerie, les accès distants et tous les comptes administrateurs</w:t>
      </w:r>
      <w:r>
        <w:rPr>
          <w:b/>
          <w:bCs/>
          <w:color w:val="FFFFFF"/>
          <w:highlight w:val="red"/>
          <w:highlightCs w:val="red"/>
        </w:rPr>
        <w:t xml:space="preserve"> [Critique] </w:t>
      </w:r>
    </w:p>
    <w:p>
      <w:pPr>
        <w:spacing w:after="40"/>
      </w:pPr>
      <w:r>
        <w:rPr>
          <w:i/>
          <w:iCs/>
          <w:color w:val="475569"/>
          <w:sz w:val="18"/>
          <w:szCs w:val="18"/>
        </w:rPr>
        <w:t xml:space="preserve">Axe : Cybersécurité &amp; Identité / Accès  ·  Source : diagnostic-express</w:t>
      </w:r>
    </w:p>
    <w:p>
      <w:pPr>
        <w:spacing w:after="120"/>
      </w:pPr>
      <w:r>
        <w:t xml:space="preserve">La MFA est absente sur la messagerie et les accès distants (Q03 Non, ZT02 Non) et les comptes admin ne sont que partiellement protégés (A17). C'est le premier vecteur de compromission et la première exigence des assureurs comme de NIS2. Le chantier est rapide et peu coûteux s'il s'appuie sur la suite existante.</w:t>
      </w:r>
    </w:p>
    <w:p>
      <w:pPr>
        <w:spacing w:after="40" w:before="120"/>
      </w:pPr>
      <w:r>
        <w:rPr>
          <w:b/>
          <w:bCs/>
          <w:color w:val="6366F1"/>
        </w:rPr>
        <w:t xml:space="preserve">Retirer les droits administrateur des comptes du quotidien et créer des comptes admin dédiés</w:t>
      </w:r>
      <w:r>
        <w:rPr>
          <w:b/>
          <w:bCs/>
          <w:color w:val="FFFFFF"/>
          <w:highlight w:val="red"/>
          <w:highlightCs w:val="red"/>
        </w:rPr>
        <w:t xml:space="preserve"> [Critique] </w:t>
      </w:r>
    </w:p>
    <w:p>
      <w:pPr>
        <w:spacing w:after="40"/>
      </w:pPr>
      <w:r>
        <w:rPr>
          <w:i/>
          <w:iCs/>
          <w:color w:val="475569"/>
          <w:sz w:val="18"/>
          <w:szCs w:val="18"/>
        </w:rPr>
        <w:t xml:space="preserve">Axe : Cybersécurité &amp; Identité / Accès  ·  Source : diagnostic-avance</w:t>
      </w:r>
    </w:p>
    <w:p>
      <w:pPr>
        <w:spacing w:after="120"/>
      </w:pPr>
      <w:r>
        <w:t xml:space="preserve">Le moindre privilège n'est pas appliqué (A20 Non, Q23 Non). Tout poste compromis donne donc des droits étendus, ce qui facilite la propagation d'un ransomware jusqu'aux serveurs et à l'atelier.</w:t>
      </w:r>
    </w:p>
    <w:p>
      <w:pPr>
        <w:spacing w:after="40" w:before="120"/>
      </w:pPr>
      <w:r>
        <w:rPr>
          <w:b/>
          <w:bCs/>
          <w:color w:val="6366F1"/>
        </w:rPr>
        <w:t xml:space="preserve">Sécuriser les sauvegardes (règle 3-2-1 avec copie hors ligne ou immuable) et réaliser un test de restauration</w:t>
      </w:r>
      <w:r>
        <w:rPr>
          <w:b/>
          <w:bCs/>
          <w:color w:val="FFFFFF"/>
          <w:highlight w:val="red"/>
          <w:highlightCs w:val="red"/>
        </w:rPr>
        <w:t xml:space="preserve"> [Critique] </w:t>
      </w:r>
    </w:p>
    <w:p>
      <w:pPr>
        <w:spacing w:after="40"/>
      </w:pPr>
      <w:r>
        <w:rPr>
          <w:i/>
          <w:iCs/>
          <w:color w:val="475569"/>
          <w:sz w:val="18"/>
          <w:szCs w:val="18"/>
        </w:rPr>
        <w:t xml:space="preserve">Axe : Endpoint &amp; sécurité poste / Continuité  ·  Source : modern-workplace</w:t>
      </w:r>
    </w:p>
    <w:p>
      <w:pPr>
        <w:spacing w:after="120"/>
      </w:pPr>
      <w:r>
        <w:t xml:space="preserve">La règle 3-2-1 n'est pas vérifiée (MW23 Non) et les tests de restauration sont irréguliers (A41). La sauvegarde est le dernier rempart en cas de ransomware. Sans copie isolée et testée, l'arrêt de production peut durer plusieurs semaines.</w:t>
      </w:r>
    </w:p>
    <w:p>
      <w:pPr>
        <w:spacing w:after="40" w:before="120"/>
      </w:pPr>
      <w:r>
        <w:rPr>
          <w:b/>
          <w:bCs/>
          <w:color w:val="6366F1"/>
        </w:rPr>
        <w:t xml:space="preserve">Mandater un pilote SI, installer un comité IT trimestriel avec la DG et qualifier formellement le statut NIS2</w:t>
      </w:r>
      <w:r>
        <w:rPr>
          <w:b/>
          <w:bCs/>
          <w:color w:val="FFFFFF"/>
          <w:highlight w:val="red"/>
          <w:highlightCs w:val="red"/>
        </w:rPr>
        <w:t xml:space="preserve"> [Critique] </w:t>
      </w:r>
    </w:p>
    <w:p>
      <w:pPr>
        <w:spacing w:after="40"/>
      </w:pPr>
      <w:r>
        <w:rPr>
          <w:i/>
          <w:iCs/>
          <w:color w:val="475569"/>
          <w:sz w:val="18"/>
          <w:szCs w:val="18"/>
        </w:rPr>
        <w:t xml:space="preserve">Axe : Gouvernance &amp; pilotage des risques  ·  Source : diagnostic-gestion-risques</w:t>
      </w:r>
    </w:p>
    <w:p>
      <w:pPr>
        <w:spacing w:after="120"/>
      </w:pPr>
      <w:r>
        <w:t xml:space="preserve">La gouvernance est floue (Q01 Partiel), sans comité IT avec la DG (A02 Non) ni politique validée par la direction (RISK01 Non). L'exposition NIS2 n'est que partiellement évaluée (Q19), et le statut déclaré (entité essentielle) doit être confirmé car il conditionne le niveau d'exigence et de contrôle. C'est le prérequis pour arbitrer et financer l'ensemble du plan.</w:t>
      </w:r>
    </w:p>
    <w:p>
      <w:pPr>
        <w:pStyle w:val="Heading2"/>
        <w:spacing w:after="120" w:before="240"/>
      </w:pPr>
      <w:r>
        <w:rPr>
          <w:b/>
          <w:bCs/>
          <w:color w:val="6366F1"/>
          <w:sz w:val="26"/>
          <w:szCs w:val="26"/>
        </w:rPr>
        <w:t xml:space="preserve">Horizon 60j (4 actions)</w:t>
      </w:r>
    </w:p>
    <w:p>
      <w:pPr>
        <w:spacing w:after="40" w:before="120"/>
      </w:pPr>
      <w:r>
        <w:rPr>
          <w:b/>
          <w:bCs/>
          <w:color w:val="6366F1"/>
        </w:rPr>
        <w:t xml:space="preserve">Désactiver les protocoles obsolètes et segmenter le réseau entre bureautique, serveurs et OT/atelier</w:t>
      </w:r>
      <w:r>
        <w:rPr>
          <w:b/>
          <w:bCs/>
          <w:color w:val="FFFFFF"/>
          <w:highlight w:val="red"/>
          <w:highlightCs w:val="red"/>
        </w:rPr>
        <w:t xml:space="preserve"> [Critique] </w:t>
      </w:r>
    </w:p>
    <w:p>
      <w:pPr>
        <w:spacing w:after="40"/>
      </w:pPr>
      <w:r>
        <w:rPr>
          <w:i/>
          <w:iCs/>
          <w:color w:val="475569"/>
          <w:sz w:val="18"/>
          <w:szCs w:val="18"/>
        </w:rPr>
        <w:t xml:space="preserve">Axe : Sécurité &amp; résilience réseau  ·  Source : diagnostic-avance</w:t>
      </w:r>
    </w:p>
    <w:p>
      <w:pPr>
        <w:spacing w:after="120"/>
      </w:pPr>
      <w:r>
        <w:t xml:space="preserve">SMBv1, NTLMv1 et TLS 1.0 sont encore actifs (A50 Non) et la segmentation n'est que partielle (A47), avec un inventaire OT incomplet (ZT10). Dans un contexte industriel, une compromission bureautique peut atteindre directement les lignes de production. Ce chantier prépare aussi les exigences du règlement Machines.</w:t>
      </w:r>
    </w:p>
    <w:p>
      <w:pPr>
        <w:spacing w:after="40" w:before="120"/>
      </w:pPr>
      <w:r>
        <w:rPr>
          <w:b/>
          <w:bCs/>
          <w:color w:val="6366F1"/>
        </w:rPr>
        <w:t xml:space="preserve">Déployer un MDM/UEM avec politique de patching sous 30 jours, chiffrement disque généralisé et EDR sur tout le parc</w:t>
      </w:r>
      <w:r>
        <w:rPr>
          <w:b/>
          <w:bCs/>
          <w:color w:val="FFFFFF"/>
          <w:highlight w:val="yellow"/>
          <w:highlightCs w:val="yellow"/>
        </w:rPr>
        <w:t xml:space="preserve"> [Élevé] </w:t>
      </w:r>
    </w:p>
    <w:p>
      <w:pPr>
        <w:spacing w:after="40"/>
      </w:pPr>
      <w:r>
        <w:rPr>
          <w:i/>
          <w:iCs/>
          <w:color w:val="475569"/>
          <w:sz w:val="18"/>
          <w:szCs w:val="18"/>
        </w:rPr>
        <w:t xml:space="preserve">Axe : Endpoint &amp; sécurité poste  ·  Source : modern-workplace</w:t>
      </w:r>
    </w:p>
    <w:p>
      <w:pPr>
        <w:spacing w:after="120"/>
      </w:pPr>
      <w:r>
        <w:t xml:space="preserve">Il n'y a ni MDM (MW11 Non, ZT11 Non) ni patching maîtrisé (MW15 Non). Le chiffrement est partiel (MW14) et l'EDR aussi (ZT13). Ce socle conditionne la conformité au RGPD (article 32) et la capacité à intégrer les parcs d'entités acquises.</w:t>
      </w:r>
    </w:p>
    <w:p>
      <w:pPr>
        <w:spacing w:after="40" w:before="120"/>
      </w:pPr>
      <w:r>
        <w:rPr>
          <w:b/>
          <w:bCs/>
          <w:color w:val="6366F1"/>
        </w:rPr>
        <w:t xml:space="preserve">Constituer le registre des traitements RGPD et formaliser la procédure de gestion des droits des personnes</w:t>
      </w:r>
      <w:r>
        <w:rPr>
          <w:b/>
          <w:bCs/>
          <w:color w:val="FFFFFF"/>
          <w:highlight w:val="red"/>
          <w:highlightCs w:val="red"/>
        </w:rPr>
        <w:t xml:space="preserve"> [Critique] </w:t>
      </w:r>
    </w:p>
    <w:p>
      <w:pPr>
        <w:spacing w:after="40"/>
      </w:pPr>
      <w:r>
        <w:rPr>
          <w:i/>
          <w:iCs/>
          <w:color w:val="475569"/>
          <w:sz w:val="18"/>
          <w:szCs w:val="18"/>
        </w:rPr>
        <w:t xml:space="preserve">Axe : Conformité réglementaire &amp; données personnelles  ·  Source : diagnostic-rgpd</w:t>
      </w:r>
    </w:p>
    <w:p>
      <w:pPr>
        <w:spacing w:after="120"/>
      </w:pPr>
      <w:r>
        <w:t xml:space="preserve">L'absence de registre (RGPD03 Non) et de procédure de gestion des droits (RGPD07 Non) constitue une non-conformité caractérisée, indémontrable en cas de contrôle CNIL ou de due diligence. Il faut aussi clarifier l'indépendance du DPO (RGPD01 Partiel).</w:t>
      </w:r>
    </w:p>
    <w:p>
      <w:pPr>
        <w:spacing w:after="40" w:before="120"/>
      </w:pPr>
      <w:r>
        <w:rPr>
          <w:b/>
          <w:bCs/>
          <w:color w:val="6366F1"/>
        </w:rPr>
        <w:t xml:space="preserve">Consolider un annuaire central unique et automatiser les processus arrivées, mobilités et départs, avec revue des droits</w:t>
      </w:r>
      <w:r>
        <w:rPr>
          <w:b/>
          <w:bCs/>
          <w:color w:val="FFFFFF"/>
          <w:highlight w:val="yellow"/>
          <w:highlightCs w:val="yellow"/>
        </w:rPr>
        <w:t xml:space="preserve"> [Élevé] </w:t>
      </w:r>
    </w:p>
    <w:p>
      <w:pPr>
        <w:spacing w:after="40"/>
      </w:pPr>
      <w:r>
        <w:rPr>
          <w:i/>
          <w:iCs/>
          <w:color w:val="475569"/>
          <w:sz w:val="18"/>
          <w:szCs w:val="18"/>
        </w:rPr>
        <w:t xml:space="preserve">Axe : Identité  ·  Source : diagnostic-zero-trust</w:t>
      </w:r>
    </w:p>
    <w:p>
      <w:pPr>
        <w:spacing w:after="120"/>
      </w:pPr>
      <w:r>
        <w:t xml:space="preserve">Il n'y a pas d'annuaire unique (ZT01 Non) ni d'automatisation des arrivées, mobilités et départs (ZT07 Non), et les revues de droits au départ sont partielles (Q04, ZT05). Des comptes orphelins sont probablement actifs. C'est aussi le référentiel indispensable pour intégrer les utilisateurs d'une future acquisition et déployer le SSO sur les SaaS (MW03).</w:t>
      </w:r>
    </w:p>
    <w:p>
      <w:pPr>
        <w:pStyle w:val="Heading2"/>
        <w:spacing w:after="120" w:before="240"/>
      </w:pPr>
      <w:r>
        <w:rPr>
          <w:b/>
          <w:bCs/>
          <w:color w:val="6366F1"/>
          <w:sz w:val="26"/>
          <w:szCs w:val="26"/>
        </w:rPr>
        <w:t xml:space="preserve">Horizon 90j (4 actions)</w:t>
      </w:r>
    </w:p>
    <w:p>
      <w:pPr>
        <w:spacing w:after="40" w:before="120"/>
      </w:pPr>
      <w:r>
        <w:rPr>
          <w:b/>
          <w:bCs/>
          <w:color w:val="6366F1"/>
        </w:rPr>
        <w:t xml:space="preserve">Formaliser un PRA/PCA couvrant le scénario ransomware et conduire un premier exercice de crise avec le CODIR</w:t>
      </w:r>
      <w:r>
        <w:rPr>
          <w:b/>
          <w:bCs/>
          <w:color w:val="FFFFFF"/>
          <w:highlight w:val="yellow"/>
          <w:highlightCs w:val="yellow"/>
        </w:rPr>
        <w:t xml:space="preserve"> [Élevé] </w:t>
      </w:r>
    </w:p>
    <w:p>
      <w:pPr>
        <w:spacing w:after="40"/>
      </w:pPr>
      <w:r>
        <w:rPr>
          <w:i/>
          <w:iCs/>
          <w:color w:val="475569"/>
          <w:sz w:val="18"/>
          <w:szCs w:val="18"/>
        </w:rPr>
        <w:t xml:space="preserve">Axe : Sécurité &amp; résilience / Continuité  ·  Source : diagnostic-avance</w:t>
      </w:r>
    </w:p>
    <w:p>
      <w:pPr>
        <w:spacing w:after="120"/>
      </w:pPr>
      <w:r>
        <w:t xml:space="preserve">Il n'y a pas de PRA opérationnel (Q08 Non, A43 Partiel) ni d'exercice de crise depuis 12 mois (A44 Non). NIS2 exige la gestion de crise et la continuité, et les clients industriels l'auditent de plus en plus.</w:t>
      </w:r>
    </w:p>
    <w:p>
      <w:pPr>
        <w:spacing w:after="40" w:before="120"/>
      </w:pPr>
      <w:r>
        <w:rPr>
          <w:b/>
          <w:bCs/>
          <w:color w:val="6366F1"/>
        </w:rPr>
        <w:t xml:space="preserve">Mettre en place une méthodologie de gestion des risques (ISO 31000 simplifiée), un registre vivant et des KRI mensuels</w:t>
      </w:r>
      <w:r>
        <w:rPr>
          <w:b/>
          <w:bCs/>
          <w:color w:val="FFFFFF"/>
          <w:highlight w:val="yellow"/>
          <w:highlightCs w:val="yellow"/>
        </w:rPr>
        <w:t xml:space="preserve"> [Élevé] </w:t>
      </w:r>
    </w:p>
    <w:p>
      <w:pPr>
        <w:spacing w:after="40"/>
      </w:pPr>
      <w:r>
        <w:rPr>
          <w:i/>
          <w:iCs/>
          <w:color w:val="475569"/>
          <w:sz w:val="18"/>
          <w:szCs w:val="18"/>
        </w:rPr>
        <w:t xml:space="preserve">Axe : Gouvernance &amp; pilotage des risques  ·  Source : diagnostic-gestion-risques</w:t>
      </w:r>
    </w:p>
    <w:p>
      <w:pPr>
        <w:spacing w:after="120"/>
      </w:pPr>
      <w:r>
        <w:t xml:space="preserve">Aucune analyse ne couvre les scénarios stratégiques (RISK04 Non), aucune décision de traitement n'est documentée (RISK07 Non) et aucun KRI n'est reporté (RISK10 Non). C'est la pièce maîtresse pour démontrer la diligence raisonnable au titre de NIS2 et en due diligence d'acquisition.</w:t>
      </w:r>
    </w:p>
    <w:p>
      <w:pPr>
        <w:spacing w:after="40" w:before="120"/>
      </w:pPr>
      <w:r>
        <w:rPr>
          <w:b/>
          <w:bCs/>
          <w:color w:val="6366F1"/>
        </w:rPr>
        <w:t xml:space="preserve">Revoir les contrats prestataires et sous-traitants : clauses sécurité, réversibilité et DPA RGPD</w:t>
      </w:r>
      <w:r>
        <w:rPr>
          <w:b/>
          <w:bCs/>
          <w:color w:val="FFFFFF"/>
          <w:highlight w:val="yellow"/>
          <w:highlightCs w:val="yellow"/>
        </w:rPr>
        <w:t xml:space="preserve"> [Élevé] </w:t>
      </w:r>
    </w:p>
    <w:p>
      <w:pPr>
        <w:spacing w:after="40"/>
      </w:pPr>
      <w:r>
        <w:rPr>
          <w:i/>
          <w:iCs/>
          <w:color w:val="475569"/>
          <w:sz w:val="18"/>
          <w:szCs w:val="18"/>
        </w:rPr>
        <w:t xml:space="preserve">Axe : Conformité réglementaire &amp; chaîne d'approvisionnement  ·  Source : diagnostic-express</w:t>
      </w:r>
    </w:p>
    <w:p>
      <w:pPr>
        <w:spacing w:after="120"/>
      </w:pPr>
      <w:r>
        <w:t xml:space="preserve">Les contrats ne couvrent ni la sécurité ni la réversibilité (Q13 Non) et les DPA sont incomplets (RGPD13, A59). La sécurité de la chaîne d'approvisionnement est une exigence explicite de NIS2, et c'est un point systématique de due diligence.</w:t>
      </w:r>
    </w:p>
    <w:p>
      <w:pPr>
        <w:spacing w:after="40" w:before="120"/>
      </w:pPr>
      <w:r>
        <w:rPr>
          <w:b/>
          <w:bCs/>
          <w:color w:val="6366F1"/>
        </w:rPr>
        <w:t xml:space="preserve">Établir le schéma d'architecture cible, le plan de traitement des systèmes en fin de vie et la trajectoire facturation électronique</w:t>
      </w:r>
      <w:r>
        <w:rPr>
          <w:b/>
          <w:bCs/>
          <w:color w:val="FFFFFF"/>
          <w:highlight w:val="cyan"/>
          <w:highlightCs w:val="cyan"/>
        </w:rPr>
        <w:t xml:space="preserve"> [Modéré] </w:t>
      </w:r>
    </w:p>
    <w:p>
      <w:pPr>
        <w:spacing w:after="40"/>
      </w:pPr>
      <w:r>
        <w:rPr>
          <w:i/>
          <w:iCs/>
          <w:color w:val="475569"/>
          <w:sz w:val="18"/>
          <w:szCs w:val="18"/>
        </w:rPr>
        <w:t xml:space="preserve">Axe : Gouvernance SI &amp; transformation digitale  ·  Source : diagnostic-avance</w:t>
      </w:r>
    </w:p>
    <w:p>
      <w:pPr>
        <w:spacing w:after="120"/>
      </w:pPr>
      <w:r>
        <w:t xml:space="preserve">Il n'y a pas de schéma d'architecture (A08 Non) ni de plan pour les systèmes en fin de vie (A14 Non), et la trajectoire facturation électronique n'est pas arrêtée (Q18 Non) alors que la réception devient obligatoire en septembre 2026. Ces éléments forment la base pour séquencer la transformation digitale et intégrer les acquisitions.</w:t>
      </w:r>
    </w:p>
    <w:p>
      <w:pPr>
        <w:pStyle w:val="Heading1"/>
        <w:pageBreakBefore/>
        <w:spacing w:after="160" w:before="320"/>
      </w:pPr>
      <w:r>
        <w:rPr>
          <w:b/>
          <w:bCs/>
          <w:color w:val="6366F1"/>
          <w:sz w:val="36"/>
          <w:szCs w:val="36"/>
        </w:rPr>
        <w:t xml:space="preserve">9. Recommandation de cadrage</w:t>
      </w:r>
    </w:p>
    <w:p>
      <w:pPr>
        <w:spacing w:after="120"/>
      </w:pPr>
      <w:r>
        <w:t xml:space="preserve">Nous recommandons d'engager une </w:t>
      </w:r>
      <w:r>
        <w:rPr>
          <w:b/>
          <w:bCs/>
        </w:rPr>
        <w:t xml:space="preserve">mission DSI à temps partagé de 6 mois, à raison d'environ 2 jours par semaine les 3 premiers mois puis 1 jour par semaine</w:t>
      </w:r>
      <w:r>
        <w:t xml:space="preserve">, structurée en deux temps. Le premier temps (0-30 jours) est un « sprint de fermeture des portes d'entrée » : MFA, privilèges, sauvegardes isolées, mandat de gouvernance et qualification NIS2. Il est piloté par le DSI externalisé avec les prestataires existants. Le second temps (30-180 jours) est une « construction du socle démontrable » : durcissement des postes et du réseau, gestion des identités, conformité RGPD, PRA et gestion des risques. Il s'accompagne d'un comité IT trimestriel avec la DG et d'un tableau de bord KRI. Un budget de sécurisation devra être arbitré en CODIR dès le premier mois (licences MFA, MDM et EDR, solution de sauvegarde immuable, éventuel accompagnement DPO externalisé). Nous recommandons enfin explicitement de </w:t>
      </w:r>
      <w:r>
        <w:rPr>
          <w:b/>
          <w:bCs/>
        </w:rPr>
        <w:t xml:space="preserve">ne pas engager d'opération de croissance externe ni de projet digital majeur avant d'avoir atteint le jalon des 90 jours</w:t>
      </w:r>
      <w:r>
        <w:t xml:space="preserve">. À défaut, une clause de vigilance cyber et un audit de la cible devront être intégrés systématiquement.</w:t>
      </w:r>
    </w:p>
    <w:p>
      <w:pPr>
        <w:pStyle w:val="Heading1"/>
        <w:pageBreakBefore/>
        <w:spacing w:after="160" w:before="320"/>
      </w:pPr>
      <w:r>
        <w:rPr>
          <w:b/>
          <w:bCs/>
          <w:color w:val="6366F1"/>
          <w:sz w:val="36"/>
          <w:szCs w:val="36"/>
        </w:rPr>
        <w:t xml:space="preserve">10. Liens avec les livrables existants</w:t>
      </w:r>
    </w:p>
    <w:p>
      <w:pPr>
        <w:pStyle w:val="ListParagraph"/>
        <w:numPr>
          <w:ilvl w:val="0"/>
          <w:numId w:val="1"/>
        </w:numPr>
        <w:spacing w:after="60"/>
      </w:pPr>
      <w:r>
        <w:t xml:space="preserve">Mini-audit MA-TEST-PME-001-cmq11v — statut : delivered · score 48/100</w:t>
      </w:r>
    </w:p>
    <w:p>
      <w:pPr>
        <w:pStyle w:val="ListParagraph"/>
        <w:numPr>
          <w:ilvl w:val="0"/>
          <w:numId w:val="1"/>
        </w:numPr>
        <w:spacing w:after="60"/>
      </w:pPr>
      <w:r>
        <w:t xml:space="preserve">SOW STEL-DEMO-PME-cmq11v — type : initial · statut : accepted</w:t>
      </w:r>
    </w:p>
    <w:p>
      <w:pPr>
        <w:pStyle w:val="Heading1"/>
        <w:pageBreakBefore/>
        <w:spacing w:after="160" w:before="320"/>
      </w:pPr>
      <w:r>
        <w:rPr>
          <w:b/>
          <w:bCs/>
          <w:color w:val="6366F1"/>
          <w:sz w:val="36"/>
          <w:szCs w:val="36"/>
        </w:rPr>
        <w:t xml:space="preserve">Annexe A — À propos de Cabinet Démo</w:t>
      </w:r>
    </w:p>
    <w:p>
      <w:pPr>
        <w:spacing w:after="120"/>
      </w:pPr>
      <w:r>
        <w:rPr>
          <w:i/>
          <w:iCs/>
          <w:color w:val="475569"/>
        </w:rPr>
        <w:t xml:space="preserve">DSI à temps partagé pour PME et ETI</w:t>
      </w:r>
    </w:p>
    <w:p>
      <w:pPr>
        <w:pStyle w:val="Heading2"/>
        <w:spacing w:after="120" w:before="240"/>
      </w:pPr>
      <w:r>
        <w:rPr>
          <w:b/>
          <w:bCs/>
          <w:color w:val="6366F1"/>
          <w:sz w:val="26"/>
          <w:szCs w:val="26"/>
        </w:rPr>
        <w:t xml:space="preserve">Notre rôle — 4 verbes</w:t>
      </w:r>
    </w:p>
    <w:p>
      <w:pPr>
        <w:pStyle w:val="ListParagraph"/>
        <w:numPr>
          <w:ilvl w:val="0"/>
          <w:numId w:val="1"/>
        </w:numPr>
        <w:spacing w:after="60"/>
      </w:pPr>
      <w:r>
        <w:rPr>
          <w:b/>
          <w:bCs/>
        </w:rPr>
        <w:t xml:space="preserve">Analyser — </w:t>
      </w:r>
      <w:r>
        <w:t xml:space="preserve">Lire la situation IT au regard des enjeux business du dirigeant, sans jargon ni biais éditeur.</w:t>
      </w:r>
    </w:p>
    <w:p>
      <w:pPr>
        <w:pStyle w:val="ListParagraph"/>
        <w:numPr>
          <w:ilvl w:val="0"/>
          <w:numId w:val="1"/>
        </w:numPr>
        <w:spacing w:after="60"/>
      </w:pPr>
      <w:r>
        <w:rPr>
          <w:b/>
          <w:bCs/>
        </w:rPr>
        <w:t xml:space="preserve">Piloter — </w:t>
      </w:r>
      <w:r>
        <w:t xml:space="preserve">Tenir le cap des chantiers IT (sécurité, conformité, projets) sans se substituer aux équipes opérationnelles.</w:t>
      </w:r>
    </w:p>
    <w:p>
      <w:pPr>
        <w:pStyle w:val="ListParagraph"/>
        <w:numPr>
          <w:ilvl w:val="0"/>
          <w:numId w:val="1"/>
        </w:numPr>
        <w:spacing w:after="60"/>
      </w:pPr>
      <w:r>
        <w:rPr>
          <w:b/>
          <w:bCs/>
        </w:rPr>
        <w:t xml:space="preserve">Arbitrer — </w:t>
      </w:r>
      <w:r>
        <w:t xml:space="preserve">Choisir entre options techniques, contractuelles ou financières sur la base de critères objectifs et tracés.</w:t>
      </w:r>
    </w:p>
    <w:p>
      <w:pPr>
        <w:pStyle w:val="ListParagraph"/>
        <w:numPr>
          <w:ilvl w:val="0"/>
          <w:numId w:val="1"/>
        </w:numPr>
        <w:spacing w:after="60"/>
      </w:pPr>
      <w:r>
        <w:rPr>
          <w:b/>
          <w:bCs/>
        </w:rPr>
        <w:t xml:space="preserve">Restituer — </w:t>
      </w:r>
      <w:r>
        <w:t xml:space="preserve">Rendre compte au dirigeant en langage de décision : décisions à prendre, risques, budgets, jalons.</w:t>
      </w:r>
    </w:p>
    <w:p>
      <w:pPr>
        <w:pStyle w:val="Heading2"/>
        <w:spacing w:after="120" w:before="240"/>
      </w:pPr>
      <w:r>
        <w:rPr>
          <w:b/>
          <w:bCs/>
          <w:color w:val="6366F1"/>
          <w:sz w:val="26"/>
          <w:szCs w:val="26"/>
        </w:rPr>
        <w:t xml:space="preserve">Frontière MOA / MOE</w:t>
      </w:r>
    </w:p>
    <w:p>
      <w:pPr>
        <w:spacing w:after="80"/>
      </w:pPr>
      <w:r>
        <w:rPr>
          <w:b/>
          <w:bCs/>
        </w:rPr>
        <w:t xml:space="preserve">Ce que nous faisons :</w:t>
      </w:r>
    </w:p>
    <w:p>
      <w:pPr>
        <w:pStyle w:val="ListParagraph"/>
        <w:numPr>
          <w:ilvl w:val="0"/>
          <w:numId w:val="1"/>
        </w:numPr>
        <w:spacing w:after="60"/>
      </w:pPr>
      <w:r>
        <w:t xml:space="preserve">Analyse, pilotage, arbitrage, restitution</w:t>
      </w:r>
    </w:p>
    <w:p>
      <w:pPr>
        <w:pStyle w:val="ListParagraph"/>
        <w:numPr>
          <w:ilvl w:val="0"/>
          <w:numId w:val="1"/>
        </w:numPr>
        <w:spacing w:after="60"/>
      </w:pPr>
      <w:r>
        <w:t xml:space="preserve">Cadrage et rédaction de cahiers des charges</w:t>
      </w:r>
    </w:p>
    <w:p>
      <w:pPr>
        <w:pStyle w:val="ListParagraph"/>
        <w:numPr>
          <w:ilvl w:val="0"/>
          <w:numId w:val="1"/>
        </w:numPr>
        <w:spacing w:after="60"/>
      </w:pPr>
      <w:r>
        <w:t xml:space="preserve">Sélection prestataires (RFP, RFI, scoring)</w:t>
      </w:r>
    </w:p>
    <w:p>
      <w:pPr>
        <w:pStyle w:val="ListParagraph"/>
        <w:numPr>
          <w:ilvl w:val="0"/>
          <w:numId w:val="1"/>
        </w:numPr>
        <w:spacing w:after="60"/>
      </w:pPr>
      <w:r>
        <w:t xml:space="preserve">Pilotage de la conformité (RGPD, sécurité, souveraineté)</w:t>
      </w:r>
    </w:p>
    <w:p>
      <w:pPr>
        <w:pStyle w:val="ListParagraph"/>
        <w:numPr>
          <w:ilvl w:val="0"/>
          <w:numId w:val="1"/>
        </w:numPr>
        <w:spacing w:after="60"/>
      </w:pPr>
      <w:r>
        <w:t xml:space="preserve">Gouvernance IT et reporting dirigeant</w:t>
      </w:r>
    </w:p>
    <w:p>
      <w:pPr>
        <w:spacing w:after="80" w:before="120"/>
      </w:pPr>
      <w:r>
        <w:rPr>
          <w:b/>
          <w:bCs/>
        </w:rPr>
        <w:t xml:space="preserve">Ce que nous ne faisons pas :</w:t>
      </w:r>
    </w:p>
    <w:p>
      <w:pPr>
        <w:pStyle w:val="ListParagraph"/>
        <w:numPr>
          <w:ilvl w:val="0"/>
          <w:numId w:val="1"/>
        </w:numPr>
        <w:spacing w:after="60"/>
      </w:pPr>
      <w:r>
        <w:t xml:space="preserve">Mise en œuvre technique (MOE) — déploiements, configurations, intégrations</w:t>
      </w:r>
    </w:p>
    <w:p>
      <w:pPr>
        <w:pStyle w:val="ListParagraph"/>
        <w:numPr>
          <w:ilvl w:val="0"/>
          <w:numId w:val="1"/>
        </w:numPr>
        <w:spacing w:after="60"/>
      </w:pPr>
      <w:r>
        <w:t xml:space="preserve">Tierce maintenance applicative ou infogérance opérationnelle</w:t>
      </w:r>
    </w:p>
    <w:p>
      <w:pPr>
        <w:pStyle w:val="ListParagraph"/>
        <w:numPr>
          <w:ilvl w:val="0"/>
          <w:numId w:val="1"/>
        </w:numPr>
        <w:spacing w:after="60"/>
      </w:pPr>
      <w:r>
        <w:t xml:space="preserve">Hotline utilisateur ou support N1/N2</w:t>
      </w:r>
    </w:p>
    <w:p>
      <w:pPr>
        <w:pStyle w:val="ListParagraph"/>
        <w:numPr>
          <w:ilvl w:val="0"/>
          <w:numId w:val="1"/>
        </w:numPr>
        <w:spacing w:after="60"/>
      </w:pPr>
      <w:r>
        <w:t xml:space="preserve">Revente de licences éditeur (sauf demande explicite, voir CGV art. 7.2)</w:t>
      </w:r>
    </w:p>
    <w:p>
      <w:pPr>
        <w:pStyle w:val="Heading2"/>
        <w:spacing w:after="120" w:before="240"/>
      </w:pPr>
      <w:r>
        <w:rPr>
          <w:b/>
          <w:bCs/>
          <w:color w:val="6366F1"/>
          <w:sz w:val="26"/>
          <w:szCs w:val="26"/>
        </w:rPr>
        <w:t xml:space="preserve">Souveraineté</w:t>
      </w:r>
    </w:p>
    <w:p>
      <w:pPr>
        <w:spacing w:after="200"/>
      </w:pPr>
      <w:r>
        <w:rPr>
          <w:b/>
          <w:bCs/>
        </w:rPr>
        <w:t xml:space="preserve">Ordre de préférence : FR &gt; EU &gt; US. </w:t>
      </w:r>
      <w:r>
        <w:t xml:space="preserve">Préférer les solutions souveraines françaises ou européennes lorsqu'elles couvrent fonctionnellement le besoin. Une solution US n'est retenue que si aucune alternative FR/EU ne couvre le besoin métier ou si le client ancre déjà sa stack chez un éditeur US et que la bascule serait disproportionnée.</w:t>
      </w:r>
    </w:p>
    <w:p>
      <w:pPr>
        <w:pStyle w:val="Heading1"/>
        <w:pageBreakBefore/>
        <w:spacing w:after="160" w:before="320"/>
      </w:pPr>
      <w:r>
        <w:rPr>
          <w:b/>
          <w:bCs/>
          <w:color w:val="6366F1"/>
          <w:sz w:val="36"/>
          <w:szCs w:val="36"/>
        </w:rPr>
        <w:t xml:space="preserve">Annexe B — Méta-analyse IA</w:t>
      </w:r>
    </w:p>
    <w:p>
      <w:r>
        <w:rPr>
          <w:color w:val="475569"/>
        </w:rPr>
        <w:t xml:space="preserve">Analyse générée le </w:t>
      </w:r>
      <w:r>
        <w:rPr>
          <w:b/>
          <w:bCs/>
        </w:rPr>
        <w:t xml:space="preserve">2026-10-22T02:02:39.507Z</w:t>
      </w:r>
      <w:r>
        <w:rPr>
          <w:color w:val="475569"/>
        </w:rPr>
        <w:t xml:space="preserve">  ·  Backend : </w:t>
      </w:r>
      <w:r>
        <w:rPr>
          <w:b/>
          <w:bCs/>
          <w:color w:val="0E5C73"/>
        </w:rPr>
        <w:t xml:space="preserve">sections</w:t>
      </w:r>
      <w:r>
        <w:rPr>
          <w:color w:val="475569"/>
        </w:rPr>
        <w:t xml:space="preserve">  ·  Modèle : </w:t>
      </w:r>
      <w:r>
        <w:rPr>
          <w:b/>
          <w:bCs/>
        </w:rPr>
        <w:t xml:space="preserve">claude-opus-5-5</w:t>
      </w:r>
      <w:r>
        <w:rPr>
          <w:color w:val="475569"/>
        </w:rPr>
        <w:t xml:space="preserve">  ·  Durée : </w:t>
      </w:r>
      <w:r>
        <w:rPr>
          <w:b/>
          <w:bCs/>
        </w:rPr>
        <w:t xml:space="preserve">0 ms</w:t>
      </w:r>
      <w:r>
        <w:rPr>
          <w:color w:val="475569"/>
        </w:rPr>
        <w:t xml:space="preserve">  ·  Hash : </w:t>
      </w:r>
      <w:r>
        <w:rPr>
          <w:rFonts w:ascii="Consolas" w:cs="Consolas" w:eastAsia="Consolas" w:hAnsi="Consolas"/>
        </w:rPr>
        <w:t xml:space="preserve"/>
      </w:r>
    </w:p>
    <w:sectPr>
      <w:headerReference w:type="default" r:id="rId7"/>
      <w:headerReference w:type="first" r:id="rId8"/>
      <w:footerReference w:type="default" r:id="rId9"/>
      <w:footerReference w:type="first" r:id="rId10"/>
      <w:pgSz w:w="11906" w:h="16838" w:orient="portrait"/>
      <w:pgMar w:top="1100" w:right="1100" w:bottom="1100" w:left="110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jc w:val="center"/>
    </w:pPr>
    <w:r>
      <w:rPr>
        <w:i/>
        <w:iCs/>
        <w:color w:val="7A7A7A"/>
        <w:sz w:val="14"/>
        <w:szCs w:val="14"/>
      </w:rPr>
      <w:t xml:space="preserve">Projet généré automatiquement, non encore relu par le cabinet.</w:t>
    </w:r>
  </w:p>
  <w:p>
    <w:pPr>
      <w:jc w:val="center"/>
    </w:pPr>
    <w:r>
      <w:rPr>
        <w:color w:val="999999"/>
        <w:sz w:val="14"/>
        <w:szCs w:val="14"/>
      </w:rPr>
      <w:t xml:space="preserve">Cabinet Démo · SIRET 79109030100015 · 28 Avenue Mal Leclerc et de sa Division, 94380 Bonneuil-sur-Marne</w:t>
    </w:r>
  </w:p>
  <w:p>
    <w:pPr>
      <w:spacing w:before="60"/>
      <w:jc w:val="center"/>
    </w:pPr>
    <w:r>
      <w:rPr>
        <w:color w:val="94A3B8"/>
        <w:sz w:val="14"/>
        <w:szCs w:val="14"/>
      </w:rPr>
      <w:t xml:space="preserve">Page </w:t>
    </w:r>
    <w:r>
      <w:rPr>
        <w:b/>
        <w:bCs/>
        <w:color w:val="6366F1"/>
        <w:sz w:val="14"/>
        <w:szCs w:val="14"/>
      </w:rPr>
      <w:fldChar w:fldCharType="begin"/>
      <w:instrText xml:space="preserve">PAGE</w:instrText>
      <w:fldChar w:fldCharType="separate"/>
      <w:fldChar w:fldCharType="end"/>
    </w:r>
    <w:r>
      <w:rPr>
        <w:color w:val="94A3B8"/>
        <w:sz w:val="14"/>
        <w:szCs w:val="14"/>
      </w:rPr>
      <w:t xml:space="preserve"> / </w:t>
    </w:r>
    <w:r>
      <w:rPr>
        <w:b/>
        <w:bCs/>
        <w:color w:val="6366F1"/>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cadrage AC-CABI-2026-001, TEST_PME Garonne Industries</dc:title>
  <dc:creator>Cabinet Démo</dc:creator>
  <dc:description>Dossier de cadrage interne Cabinet Démo pour TEST_PME Garonne Industries</dc:description>
  <cp:lastModifiedBy>Un-named</cp:lastModifiedBy>
  <cp:revision>1</cp:revision>
  <dcterms:created xsi:type="dcterms:W3CDTF">2026-10-22T02:02:39.519Z</dcterms:created>
  <dcterms:modified xsi:type="dcterms:W3CDTF">2026-10-22T02:02:39.519Z</dcterms:modified>
</cp:coreProperties>
</file>

<file path=docProps/custom.xml><?xml version="1.0" encoding="utf-8"?>
<Properties xmlns="http://schemas.openxmlformats.org/officeDocument/2006/custom-properties" xmlns:vt="http://schemas.openxmlformats.org/officeDocument/2006/docPropsVTypes"/>
</file>