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single" w:color="6366F1" w:sz="48" w:space="1"/>
        </w:pBdr>
        <w:spacing w:after="240" w:before="0"/>
      </w:pPr>
      <w:r>
        <w:rPr>
          <w:sz w:val="2"/>
          <w:szCs w:val="2"/>
        </w:rPr>
        <w:t xml:space="preserve"/>
      </w:r>
    </w:p>
    <w:p>
      <w:pPr>
        <w:spacing w:after="200" w:before="80"/>
        <w:jc w:val="center"/>
      </w:pPr>
      <w:r>
        <w:rPr>
          <w:rFonts w:ascii="Inter Tight" w:cs="Inter Tight" w:eastAsia="Inter Tight" w:hAnsi="Inter Tight"/>
          <w:b/>
          <w:bCs/>
          <w:color w:val="6366F1"/>
          <w:sz w:val="18"/>
          <w:szCs w:val="18"/>
        </w:rPr>
        <w:t xml:space="preserve">AUDIT-CADRAGE</w:t>
      </w:r>
    </w:p>
    <w:p>
      <w:pPr>
        <w:spacing w:after="400"/>
        <w:jc w:val="center"/>
      </w:pPr>
      <w:r>
        <w:rPr>
          <w:b/>
          <w:bCs/>
          <w:color w:val="6366F1"/>
          <w:sz w:val="44"/>
          <w:szCs w:val="44"/>
        </w:rPr>
        <w:t xml:space="preserve">Stelysia</w:t>
      </w:r>
    </w:p>
    <w:p>
      <w:pPr>
        <w:pBdr>
          <w:bottom w:val="single" w:color="6366F1" w:sz="16" w:space="8"/>
        </w:pBdr>
        <w:spacing w:after="100" w:before="600"/>
        <w:jc w:val="center"/>
      </w:pPr>
      <w:r>
        <w:rPr>
          <w:rFonts w:ascii="Source Serif 4" w:cs="Source Serif 4" w:eastAsia="Source Serif 4" w:hAnsi="Source Serif 4"/>
          <w:b/>
          <w:bCs/>
          <w:color w:val="0F172A"/>
          <w:sz w:val="56"/>
          <w:szCs w:val="56"/>
        </w:rPr>
        <w:t xml:space="preserve">AUDIT-CADRAGE INTERNE</w:t>
      </w:r>
    </w:p>
    <w:p>
      <w:pPr>
        <w:spacing w:after="600"/>
        <w:jc w:val="center"/>
      </w:pPr>
      <w:r>
        <w:rPr>
          <w:i/>
          <w:iCs/>
          <w:color w:val="666666"/>
          <w:sz w:val="28"/>
          <w:szCs w:val="28"/>
        </w:rPr>
        <w:t xml:space="preserve">État de connaissance — préparation mission DSI temps partagé</w:t>
      </w:r>
    </w:p>
    <w:p>
      <w:pPr>
        <w:spacing w:after="80"/>
        <w:jc w:val="center"/>
      </w:pPr>
      <w:r>
        <w:rPr>
          <w:b/>
          <w:bCs/>
          <w:sz w:val="36"/>
          <w:szCs w:val="36"/>
        </w:rPr>
        <w:t xml:space="preserve">TEST_TPE Duval Artisanat</w:t>
      </w:r>
    </w:p>
    <w:p>
      <w:pPr>
        <w:jc w:val="center"/>
      </w:pPr>
      <w:r>
        <w:rPr>
          <w:i/>
          <w:iCs/>
          <w:color w:val="666666"/>
          <w:sz w:val="22"/>
          <w:szCs w:val="22"/>
        </w:rPr>
        <w:t xml:space="preserve">Artisanat / BTP · 10-19</w:t>
      </w:r>
    </w:p>
    <w:p>
      <w:pPr>
        <w:spacing w:after="80" w:before="400"/>
        <w:jc w:val="center"/>
      </w:pPr>
      <w:r>
        <w:rPr>
          <w:color w:val="666666"/>
        </w:rPr>
        <w:t xml:space="preserve">Référence : </w:t>
      </w:r>
      <w:r>
        <w:rPr>
          <w:rFonts w:ascii="Consolas" w:cs="Consolas" w:eastAsia="Consolas" w:hAnsi="Consolas"/>
          <w:b/>
          <w:bCs/>
        </w:rPr>
        <w:t xml:space="preserve">AC-STEL-2026-001</w:t>
      </w:r>
      <w:r>
        <w:rPr>
          <w:color w:val="666666"/>
        </w:rPr>
        <w:t xml:space="preserve">    ·    </w:t>
      </w:r>
      <w:r>
        <w:rPr>
          <w:color w:val="666666"/>
        </w:rPr>
        <w:t xml:space="preserve">Date : </w:t>
      </w:r>
      <w:r>
        <w:t xml:space="preserve">05 juin 2026</w:t>
      </w:r>
    </w:p>
    <w:p>
      <w:pPr>
        <w:spacing w:after="60" w:before="800"/>
        <w:jc w:val="center"/>
      </w:pPr>
      <w:r>
        <w:rPr>
          <w:b/>
          <w:bCs/>
        </w:rPr>
        <w:t xml:space="preserve">Stéphane Benoist</w:t>
      </w:r>
      <w:r>
        <w:rPr>
          <w:color w:val="666666"/>
        </w:rPr>
        <w:t xml:space="preserve"> — DSI à temps partagé</w:t>
      </w:r>
    </w:p>
    <w:p>
      <w:pPr>
        <w:jc w:val="center"/>
      </w:pPr>
      <w:r>
        <w:rPr>
          <w:color w:val="666666"/>
          <w:sz w:val="18"/>
          <w:szCs w:val="18"/>
        </w:rPr>
        <w:t xml:space="preserve">stephane@stelysia.fr · </w:t>
      </w:r>
    </w:p>
    <w:p>
      <w:r>
        <w:br w:type="page"/>
      </w:r>
    </w:p>
    <w:p>
      <w:pPr>
        <w:pStyle w:val="Heading1"/>
        <w:spacing w:after="160" w:before="320"/>
      </w:pPr>
      <w:r>
        <w:rPr>
          <w:b/>
          <w:bCs/>
          <w:color w:val="6366F1"/>
          <w:sz w:val="36"/>
          <w:szCs w:val="36"/>
        </w:rPr>
        <w:t xml:space="preserve">2. Synthèse exécutive</w:t>
      </w:r>
    </w:p>
    <w:tbl>
      <w:tblPr>
        <w:tblW w:type="pct" w:w="100%"/>
        <w:tblBorders>
          <w:top w:val="single" w:color="F59E0B" w:sz="8"/>
          <w:left w:val="single" w:color="F59E0B" w:sz="8"/>
          <w:bottom w:val="single" w:color="F59E0B" w:sz="8"/>
          <w:right w:val="single" w:color="F59E0B" w:sz="8"/>
          <w:insideH w:val="none" w:color="auto" w:sz="0"/>
          <w:insideV w:val="none" w:color="auto" w:sz="0"/>
        </w:tblBorders>
      </w:tblPr>
      <w:tblGrid>
        <w:gridCol w:w="100"/>
      </w:tblGrid>
      <w:tr>
        <w:tc>
          <w:tcPr>
            <w:shd w:fill="FEF3C7"/>
          </w:tcPr>
          <w:p>
            <w:pPr>
              <w:spacing w:after="60"/>
            </w:pPr>
            <w:r>
              <w:rPr>
                <w:b/>
                <w:bCs/>
                <w:color w:val="92400E"/>
              </w:rPr>
              <w:t xml:space="preserve">Analyse IA indisponible — voir les KPI bruts ci-dessous</w:t>
            </w:r>
          </w:p>
          <w:p>
            <w:r>
              <w:rPr>
                <w:i/>
                <w:iCs/>
                <w:color w:val="92400E"/>
              </w:rPr>
              <w:t xml:space="preserve">Le module d'analyse IA n'a pas pu produire de prose structurée pour ce contexte. Les sections concernées sont remplacées par les indicateurs déterministes (couverture diags, signaux Partiel/Non, données manquantes).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120"/>
      </w:pPr>
      <w:r>
        <w:t xml:space="preserve">2 diagnostics couverts sur 5 — score moyen 23/100.</w:t>
      </w:r>
    </w:p>
    <w:p>
      <w:pPr>
        <w:spacing w:after="120"/>
      </w:pPr>
      <w:r>
        <w:t xml:space="preserve">Signaux à creuser : 36 · points à clarifier (NSP) : 0 · richesse contexte : 0 commentaire.</w:t>
      </w:r>
    </w:p>
    <w:p>
      <w:pPr>
        <w:pStyle w:val="Heading1"/>
        <w:pageBreakBefore/>
        <w:spacing w:after="160" w:before="320"/>
      </w:pPr>
      <w:r>
        <w:rPr>
          <w:b/>
          <w:bCs/>
          <w:color w:val="6366F1"/>
          <w:sz w:val="36"/>
          <w:szCs w:val="36"/>
        </w:rPr>
        <w:t xml:space="preserve">3. Profil client &amp; enjeux</w:t>
      </w:r>
    </w:p>
    <w:tbl>
      <w:tblPr>
        <w:tblW w:type="pct" w:w="100%"/>
        <w:tblBorders>
          <w:top w:val="single" w:color="E2E8F0" w:sz="4"/>
          <w:left w:val="single" w:color="E2E8F0" w:sz="4"/>
          <w:bottom w:val="single" w:color="E2E8F0" w:sz="4"/>
          <w:right w:val="single" w:color="E2E8F0" w:sz="4"/>
          <w:insideH w:val="single" w:color="E2E8F0" w:sz="2"/>
          <w:insideV w:val="single" w:color="E2E8F0" w:sz="2"/>
        </w:tblBorders>
      </w:tblPr>
      <w:tblGrid>
        <w:gridCol w:w="100"/>
        <w:gridCol w:w="100"/>
      </w:tblGrid>
      <w:tr>
        <w:tc>
          <w:tcPr>
            <w:tcW w:type="pct" w:w="32%"/>
            <w:shd w:fill="F8FAFC"/>
          </w:tcPr>
          <w:p>
            <w:r>
              <w:rPr>
                <w:b/>
                <w:bCs/>
                <w:color w:val="6366F1"/>
              </w:rPr>
              <w:t xml:space="preserve">Nom</w:t>
            </w:r>
          </w:p>
        </w:tc>
        <w:tc>
          <w:tcPr>
            <w:tcW w:type="pct" w:w="68%"/>
          </w:tcPr>
          <w:p>
            <w:r>
              <w:t xml:space="preserve">TEST_TPE Duval Artisanat</w:t>
            </w:r>
          </w:p>
        </w:tc>
      </w:tr>
      <w:tr>
        <w:tc>
          <w:tcPr>
            <w:tcW w:type="pct" w:w="32%"/>
            <w:shd w:fill="F8FAFC"/>
          </w:tcPr>
          <w:p>
            <w:r>
              <w:rPr>
                <w:b/>
                <w:bCs/>
                <w:color w:val="6366F1"/>
              </w:rPr>
              <w:t xml:space="preserve">Secteur</w:t>
            </w:r>
          </w:p>
        </w:tc>
        <w:tc>
          <w:tcPr>
            <w:tcW w:type="pct" w:w="68%"/>
          </w:tcPr>
          <w:p>
            <w:r>
              <w:t xml:space="preserve">Artisanat / BTP</w:t>
            </w:r>
          </w:p>
        </w:tc>
      </w:tr>
      <w:tr>
        <w:tc>
          <w:tcPr>
            <w:tcW w:type="pct" w:w="32%"/>
            <w:shd w:fill="F8FAFC"/>
          </w:tcPr>
          <w:p>
            <w:r>
              <w:rPr>
                <w:b/>
                <w:bCs/>
                <w:color w:val="6366F1"/>
              </w:rPr>
              <w:t xml:space="preserve">Effectif</w:t>
            </w:r>
          </w:p>
        </w:tc>
        <w:tc>
          <w:tcPr>
            <w:tcW w:type="pct" w:w="68%"/>
          </w:tcPr>
          <w:p>
            <w:r>
              <w:t xml:space="preserve">10-19</w:t>
            </w:r>
          </w:p>
        </w:tc>
      </w:tr>
      <w:tr>
        <w:tc>
          <w:tcPr>
            <w:tcW w:type="pct" w:w="32%"/>
            <w:shd w:fill="F8FAFC"/>
          </w:tcPr>
          <w:p>
            <w:r>
              <w:rPr>
                <w:b/>
                <w:bCs/>
                <w:color w:val="6366F1"/>
              </w:rPr>
              <w:t xml:space="preserve">Dirigeant principal</w:t>
            </w:r>
          </w:p>
        </w:tc>
        <w:tc>
          <w:tcPr>
            <w:tcW w:type="pct" w:w="68%"/>
          </w:tcPr>
          <w:p>
            <w:r>
              <w:t xml:space="preserve">Contact test (fictif)</w:t>
            </w:r>
          </w:p>
        </w:tc>
      </w:tr>
    </w:tbl>
    <w:p>
      <w:pPr>
        <w:pStyle w:val="Heading3"/>
        <w:spacing w:after="80" w:before="200"/>
      </w:pPr>
      <w:r>
        <w:rPr>
          <w:b/>
          <w:bCs/>
          <w:sz w:val="22"/>
          <w:szCs w:val="22"/>
        </w:rPr>
        <w:t xml:space="preserve">Enjeux business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continuite-activite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relation-client</w:t>
      </w:r>
    </w:p>
    <w:p>
      <w:pPr>
        <w:pStyle w:val="Heading3"/>
        <w:spacing w:after="80" w:before="200"/>
      </w:pPr>
      <w:r>
        <w:rPr>
          <w:b/>
          <w:bCs/>
          <w:sz w:val="22"/>
          <w:szCs w:val="22"/>
        </w:rPr>
        <w:t xml:space="preserve">Sujets IT identifiés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sauvegarde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securite-basique</w:t>
      </w:r>
    </w:p>
    <w:p>
      <w:pPr>
        <w:pStyle w:val="Heading3"/>
        <w:spacing w:after="80" w:before="200"/>
      </w:pPr>
      <w:r>
        <w:rPr>
          <w:b/>
          <w:bCs/>
          <w:sz w:val="22"/>
          <w:szCs w:val="22"/>
        </w:rPr>
        <w:t xml:space="preserve">Cadre réglementaire applicable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rgpd-standard</w:t>
      </w:r>
    </w:p>
    <w:p>
      <w:pPr>
        <w:pStyle w:val="Heading1"/>
        <w:pageBreakBefore/>
        <w:spacing w:after="160" w:before="320"/>
      </w:pPr>
      <w:r>
        <w:rPr>
          <w:b/>
          <w:bCs/>
          <w:color w:val="6366F1"/>
          <w:sz w:val="36"/>
          <w:szCs w:val="36"/>
        </w:rPr>
        <w:t xml:space="preserve">4. Couverture des diagnostics &amp; KPI</w:t>
      </w:r>
    </w:p>
    <w:p>
      <w:pPr>
        <w:spacing w:after="120"/>
      </w:pPr>
      <w:r>
        <w:rPr>
          <w:i/>
          <w:iCs/>
          <w:color w:val="475569"/>
        </w:rPr>
        <w:t xml:space="preserve">Vue synthétique des 5 diagnostics structurants. Un diagnostic est considéré comme « couvert » à partir de 5 réponses saisies.</w:t>
      </w:r>
    </w:p>
    <w:tbl>
      <w:tblPr>
        <w:tblW w:type="pct" w:w="100%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EEF2FF"/>
          </w:tcPr>
          <w:p>
            <w:r>
              <w:rPr>
                <w:b/>
                <w:bCs/>
                <w:color w:val="6366F1"/>
              </w:rPr>
              <w:t xml:space="preserve">Diagnostic</w:t>
            </w:r>
          </w:p>
        </w:tc>
        <w:tc>
          <w:tcPr>
            <w:shd w:fill="EEF2FF"/>
          </w:tcPr>
          <w:p>
            <w:r>
              <w:rPr>
                <w:b/>
                <w:bCs/>
                <w:color w:val="6366F1"/>
              </w:rPr>
              <w:t xml:space="preserve">Statut</w:t>
            </w:r>
          </w:p>
        </w:tc>
        <w:tc>
          <w:tcPr>
            <w:shd w:fill="EEF2FF"/>
          </w:tcPr>
          <w:p>
            <w:r>
              <w:rPr>
                <w:b/>
                <w:bCs/>
                <w:color w:val="6366F1"/>
              </w:rPr>
              <w:t xml:space="preserve">Réponses</w:t>
            </w:r>
          </w:p>
        </w:tc>
        <w:tc>
          <w:tcPr>
            <w:shd w:fill="EEF2FF"/>
          </w:tcPr>
          <w:p>
            <w:r>
              <w:rPr>
                <w:b/>
                <w:bCs/>
                <w:color w:val="6366F1"/>
              </w:rPr>
              <w:t xml:space="preserve">Score moyen</w:t>
            </w:r>
          </w:p>
        </w:tc>
        <w:tc>
          <w:tcPr>
            <w:shd w:fill="EEF2FF"/>
          </w:tcPr>
          <w:p>
            <w:r>
              <w:rPr>
                <w:b/>
                <w:bCs/>
                <w:color w:val="6366F1"/>
              </w:rPr>
              <w:t xml:space="preserve">Partiel / Non</w:t>
            </w:r>
          </w:p>
        </w:tc>
        <w:tc>
          <w:tcPr>
            <w:shd w:fill="EEF2FF"/>
          </w:tcPr>
          <w:p>
            <w:r>
              <w:rPr>
                <w:b/>
                <w:bCs/>
                <w:color w:val="6366F1"/>
              </w:rPr>
              <w:t xml:space="preserve">NSP</w:t>
            </w:r>
          </w:p>
        </w:tc>
        <w:tc>
          <w:tcPr>
            <w:shd w:fill="EEF2FF"/>
          </w:tcPr>
          <w:p>
            <w:r>
              <w:rPr>
                <w:b/>
                <w:bCs/>
                <w:color w:val="6366F1"/>
              </w:rPr>
              <w:t xml:space="preserve">Commentaires</w:t>
            </w:r>
          </w:p>
        </w:tc>
      </w:tr>
      <w:tr>
        <w:tc>
          <w:p>
            <w:r>
              <w:rPr>
                <w:b/>
                <w:bCs/>
              </w:rPr>
              <w:t xml:space="preserve">Diag IT N1</w:t>
            </w:r>
          </w:p>
        </w:tc>
        <w:tc>
          <w:p>
            <w:r>
              <w:rPr>
                <w:b/>
                <w:bCs/>
                <w:color w:val="6366F1"/>
              </w:rPr>
              <w:t xml:space="preserve">Couvert</w:t>
            </w:r>
          </w:p>
        </w:tc>
        <w:tc>
          <w:p>
            <w:r>
              <w:t xml:space="preserve">26</w:t>
            </w:r>
          </w:p>
        </w:tc>
        <w:tc>
          <w:p>
            <w:r>
              <w:t xml:space="preserve">29/100</w:t>
            </w:r>
          </w:p>
        </w:tc>
        <w:tc>
          <w:p>
            <w:r>
              <w:t xml:space="preserve">5 / 16</w:t>
            </w:r>
          </w:p>
        </w:tc>
        <w:tc>
          <w:p>
            <w:r>
              <w:rPr>
                <w:b w:val="false"/>
                <w:bCs w:val="false"/>
              </w:rPr>
              <w:t xml:space="preserve">0</w:t>
            </w:r>
          </w:p>
        </w:tc>
        <w:tc>
          <w:p>
            <w:r>
              <w:t xml:space="preserve">0</w:t>
            </w:r>
          </w:p>
        </w:tc>
      </w:tr>
      <w:tr>
        <w:tc>
          <w:p>
            <w:r>
              <w:rPr>
                <w:b/>
                <w:bCs/>
              </w:rPr>
              <w:t xml:space="preserve">Diag IT N2</w:t>
            </w:r>
          </w:p>
        </w:tc>
        <w:tc>
          <w:p>
            <w:r>
              <w:rPr>
                <w:b w:val="false"/>
                <w:bCs w:val="false"/>
                <w:color w:val="94A3B8"/>
              </w:rPr>
              <w:t xml:space="preserve">Non démarré</w:t>
            </w:r>
          </w:p>
        </w:tc>
        <w:tc>
          <w:p>
            <w:r>
              <w:t xml:space="preserve">0</w:t>
            </w:r>
          </w:p>
        </w:tc>
        <w:tc>
          <w:p>
            <w:r>
              <w:t xml:space="preserve">—</w:t>
            </w:r>
          </w:p>
        </w:tc>
        <w:tc>
          <w:p>
            <w:r>
              <w:t xml:space="preserve">0 / 0</w:t>
            </w:r>
          </w:p>
        </w:tc>
        <w:tc>
          <w:p>
            <w:r>
              <w:rPr>
                <w:b w:val="false"/>
                <w:bCs w:val="false"/>
              </w:rPr>
              <w:t xml:space="preserve">0</w:t>
            </w:r>
          </w:p>
        </w:tc>
        <w:tc>
          <w:p>
            <w:r>
              <w:t xml:space="preserve">0</w:t>
            </w:r>
          </w:p>
        </w:tc>
      </w:tr>
      <w:tr>
        <w:tc>
          <w:p>
            <w:r>
              <w:rPr>
                <w:b/>
                <w:bCs/>
              </w:rPr>
              <w:t xml:space="preserve">Modern Workplace</w:t>
            </w:r>
          </w:p>
        </w:tc>
        <w:tc>
          <w:p>
            <w:r>
              <w:rPr>
                <w:b w:val="false"/>
                <w:bCs w:val="false"/>
                <w:color w:val="94A3B8"/>
              </w:rPr>
              <w:t xml:space="preserve">Non démarré</w:t>
            </w:r>
          </w:p>
        </w:tc>
        <w:tc>
          <w:p>
            <w:r>
              <w:t xml:space="preserve">0</w:t>
            </w:r>
          </w:p>
        </w:tc>
        <w:tc>
          <w:p>
            <w:r>
              <w:t xml:space="preserve">—</w:t>
            </w:r>
          </w:p>
        </w:tc>
        <w:tc>
          <w:p>
            <w:r>
              <w:t xml:space="preserve">0 / 0</w:t>
            </w:r>
          </w:p>
        </w:tc>
        <w:tc>
          <w:p>
            <w:r>
              <w:rPr>
                <w:b w:val="false"/>
                <w:bCs w:val="false"/>
              </w:rPr>
              <w:t xml:space="preserve">0</w:t>
            </w:r>
          </w:p>
        </w:tc>
        <w:tc>
          <w:p>
            <w:r>
              <w:t xml:space="preserve">0</w:t>
            </w:r>
          </w:p>
        </w:tc>
      </w:tr>
      <w:tr>
        <w:tc>
          <w:p>
            <w:r>
              <w:rPr>
                <w:b/>
                <w:bCs/>
              </w:rPr>
              <w:t xml:space="preserve">Zero Trust</w:t>
            </w:r>
          </w:p>
        </w:tc>
        <w:tc>
          <w:p>
            <w:r>
              <w:rPr>
                <w:b w:val="false"/>
                <w:bCs w:val="false"/>
                <w:color w:val="94A3B8"/>
              </w:rPr>
              <w:t xml:space="preserve">Non démarré</w:t>
            </w:r>
          </w:p>
        </w:tc>
        <w:tc>
          <w:p>
            <w:r>
              <w:t xml:space="preserve">0</w:t>
            </w:r>
          </w:p>
        </w:tc>
        <w:tc>
          <w:p>
            <w:r>
              <w:t xml:space="preserve">—</w:t>
            </w:r>
          </w:p>
        </w:tc>
        <w:tc>
          <w:p>
            <w:r>
              <w:t xml:space="preserve">0 / 0</w:t>
            </w:r>
          </w:p>
        </w:tc>
        <w:tc>
          <w:p>
            <w:r>
              <w:rPr>
                <w:b w:val="false"/>
                <w:bCs w:val="false"/>
              </w:rPr>
              <w:t xml:space="preserve">0</w:t>
            </w:r>
          </w:p>
        </w:tc>
        <w:tc>
          <w:p>
            <w:r>
              <w:t xml:space="preserve">0</w:t>
            </w:r>
          </w:p>
        </w:tc>
      </w:tr>
      <w:tr>
        <w:tc>
          <w:p>
            <w:r>
              <w:rPr>
                <w:b/>
                <w:bCs/>
              </w:rPr>
              <w:t xml:space="preserve">Auto &amp; IA</w:t>
            </w:r>
          </w:p>
        </w:tc>
        <w:tc>
          <w:p>
            <w:r>
              <w:rPr>
                <w:b w:val="false"/>
                <w:bCs w:val="false"/>
                <w:color w:val="94A3B8"/>
              </w:rPr>
              <w:t xml:space="preserve">Non démarré</w:t>
            </w:r>
          </w:p>
        </w:tc>
        <w:tc>
          <w:p>
            <w:r>
              <w:t xml:space="preserve">0</w:t>
            </w:r>
          </w:p>
        </w:tc>
        <w:tc>
          <w:p>
            <w:r>
              <w:t xml:space="preserve">—</w:t>
            </w:r>
          </w:p>
        </w:tc>
        <w:tc>
          <w:p>
            <w:r>
              <w:t xml:space="preserve">0 / 0</w:t>
            </w:r>
          </w:p>
        </w:tc>
        <w:tc>
          <w:p>
            <w:r>
              <w:rPr>
                <w:b w:val="false"/>
                <w:bCs w:val="false"/>
              </w:rPr>
              <w:t xml:space="preserve">0</w:t>
            </w:r>
          </w:p>
        </w:tc>
        <w:tc>
          <w:p>
            <w:r>
              <w:t xml:space="preserve">0</w:t>
            </w:r>
          </w:p>
        </w:tc>
      </w:tr>
      <w:tr>
        <w:tc>
          <w:p>
            <w:r>
              <w:rPr>
                <w:b/>
                <w:bCs/>
              </w:rPr>
              <w:t xml:space="preserve">Entretien dirigeant</w:t>
            </w:r>
          </w:p>
        </w:tc>
        <w:tc>
          <w:p>
            <w:r>
              <w:rPr>
                <w:b w:val="false"/>
                <w:bCs w:val="false"/>
                <w:color w:val="94A3B8"/>
              </w:rPr>
              <w:t xml:space="preserve">Non démarré</w:t>
            </w:r>
          </w:p>
        </w:tc>
        <w:tc>
          <w:p>
            <w:r>
              <w:t xml:space="preserve">0</w:t>
            </w:r>
          </w:p>
        </w:tc>
        <w:tc>
          <w:p>
            <w:r>
              <w:t xml:space="preserve">—</w:t>
            </w:r>
          </w:p>
        </w:tc>
        <w:tc>
          <w:p>
            <w:r>
              <w:t xml:space="preserve">0 / 0</w:t>
            </w:r>
          </w:p>
        </w:tc>
        <w:tc>
          <w:p>
            <w:r>
              <w:rPr>
                <w:b w:val="false"/>
                <w:bCs w:val="false"/>
              </w:rPr>
              <w:t xml:space="preserve">0</w:t>
            </w:r>
          </w:p>
        </w:tc>
        <w:tc>
          <w:p>
            <w:r>
              <w:t xml:space="preserve">0</w:t>
            </w:r>
          </w:p>
        </w:tc>
      </w:tr>
      <w:tr>
        <w:tc>
          <w:p>
            <w:r>
              <w:rPr>
                <w:b/>
                <w:bCs/>
              </w:rPr>
              <w:t xml:space="preserve">France Num</w:t>
            </w:r>
          </w:p>
        </w:tc>
        <w:tc>
          <w:p>
            <w:r>
              <w:rPr>
                <w:b w:val="false"/>
                <w:bCs w:val="false"/>
                <w:color w:val="94A3B8"/>
              </w:rPr>
              <w:t xml:space="preserve">Non démarré</w:t>
            </w:r>
          </w:p>
        </w:tc>
        <w:tc>
          <w:p>
            <w:r>
              <w:t xml:space="preserve">0</w:t>
            </w:r>
          </w:p>
        </w:tc>
        <w:tc>
          <w:p>
            <w:r>
              <w:t xml:space="preserve">—</w:t>
            </w:r>
          </w:p>
        </w:tc>
        <w:tc>
          <w:p>
            <w:r>
              <w:t xml:space="preserve">0 / 0</w:t>
            </w:r>
          </w:p>
        </w:tc>
        <w:tc>
          <w:p>
            <w:r>
              <w:rPr>
                <w:b w:val="false"/>
                <w:bCs w:val="false"/>
              </w:rPr>
              <w:t xml:space="preserve">0</w:t>
            </w:r>
          </w:p>
        </w:tc>
        <w:tc>
          <w:p>
            <w:r>
              <w:t xml:space="preserve">0</w:t>
            </w:r>
          </w:p>
        </w:tc>
      </w:tr>
      <w:tr>
        <w:tc>
          <w:p>
            <w:r>
              <w:rPr>
                <w:b/>
                <w:bCs/>
              </w:rPr>
              <w:t xml:space="preserve">PCA/PRA</w:t>
            </w:r>
          </w:p>
        </w:tc>
        <w:tc>
          <w:p>
            <w:r>
              <w:rPr>
                <w:b w:val="false"/>
                <w:bCs w:val="false"/>
                <w:color w:val="94A3B8"/>
              </w:rPr>
              <w:t xml:space="preserve">Non démarré</w:t>
            </w:r>
          </w:p>
        </w:tc>
        <w:tc>
          <w:p>
            <w:r>
              <w:t xml:space="preserve">0</w:t>
            </w:r>
          </w:p>
        </w:tc>
        <w:tc>
          <w:p>
            <w:r>
              <w:t xml:space="preserve">—</w:t>
            </w:r>
          </w:p>
        </w:tc>
        <w:tc>
          <w:p>
            <w:r>
              <w:t xml:space="preserve">0 / 0</w:t>
            </w:r>
          </w:p>
        </w:tc>
        <w:tc>
          <w:p>
            <w:r>
              <w:rPr>
                <w:b w:val="false"/>
                <w:bCs w:val="false"/>
              </w:rPr>
              <w:t xml:space="preserve">0</w:t>
            </w:r>
          </w:p>
        </w:tc>
        <w:tc>
          <w:p>
            <w:r>
              <w:t xml:space="preserve">0</w:t>
            </w:r>
          </w:p>
        </w:tc>
      </w:tr>
      <w:tr>
        <w:tc>
          <w:p>
            <w:r>
              <w:rPr>
                <w:b/>
                <w:bCs/>
              </w:rPr>
              <w:t xml:space="preserve">Adoption ADKAR</w:t>
            </w:r>
          </w:p>
        </w:tc>
        <w:tc>
          <w:p>
            <w:r>
              <w:rPr>
                <w:b w:val="false"/>
                <w:bCs w:val="false"/>
                <w:color w:val="94A3B8"/>
              </w:rPr>
              <w:t xml:space="preserve">Non démarré</w:t>
            </w:r>
          </w:p>
        </w:tc>
        <w:tc>
          <w:p>
            <w:r>
              <w:t xml:space="preserve">0</w:t>
            </w:r>
          </w:p>
        </w:tc>
        <w:tc>
          <w:p>
            <w:r>
              <w:t xml:space="preserve">—</w:t>
            </w:r>
          </w:p>
        </w:tc>
        <w:tc>
          <w:p>
            <w:r>
              <w:t xml:space="preserve">0 / 0</w:t>
            </w:r>
          </w:p>
        </w:tc>
        <w:tc>
          <w:p>
            <w:r>
              <w:rPr>
                <w:b w:val="false"/>
                <w:bCs w:val="false"/>
              </w:rPr>
              <w:t xml:space="preserve">0</w:t>
            </w:r>
          </w:p>
        </w:tc>
        <w:tc>
          <w:p>
            <w:r>
              <w:t xml:space="preserve">0</w:t>
            </w:r>
          </w:p>
        </w:tc>
      </w:tr>
      <w:tr>
        <w:tc>
          <w:p>
            <w:r>
              <w:rPr>
                <w:b/>
                <w:bCs/>
              </w:rPr>
              <w:t xml:space="preserve">Zachman SI</w:t>
            </w:r>
          </w:p>
        </w:tc>
        <w:tc>
          <w:p>
            <w:r>
              <w:rPr>
                <w:b w:val="false"/>
                <w:bCs w:val="false"/>
                <w:color w:val="94A3B8"/>
              </w:rPr>
              <w:t xml:space="preserve">Non démarré</w:t>
            </w:r>
          </w:p>
        </w:tc>
        <w:tc>
          <w:p>
            <w:r>
              <w:t xml:space="preserve">0</w:t>
            </w:r>
          </w:p>
        </w:tc>
        <w:tc>
          <w:p>
            <w:r>
              <w:t xml:space="preserve">—</w:t>
            </w:r>
          </w:p>
        </w:tc>
        <w:tc>
          <w:p>
            <w:r>
              <w:t xml:space="preserve">0 / 0</w:t>
            </w:r>
          </w:p>
        </w:tc>
        <w:tc>
          <w:p>
            <w:r>
              <w:rPr>
                <w:b w:val="false"/>
                <w:bCs w:val="false"/>
              </w:rPr>
              <w:t xml:space="preserve">0</w:t>
            </w:r>
          </w:p>
        </w:tc>
        <w:tc>
          <w:p>
            <w:r>
              <w:t xml:space="preserve">0</w:t>
            </w:r>
          </w:p>
        </w:tc>
      </w:tr>
      <w:tr>
        <w:tc>
          <w:p>
            <w:r>
              <w:rPr>
                <w:b/>
                <w:bCs/>
              </w:rPr>
              <w:t xml:space="preserve">RGPD</w:t>
            </w:r>
          </w:p>
        </w:tc>
        <w:tc>
          <w:p>
            <w:r>
              <w:rPr>
                <w:b w:val="false"/>
                <w:bCs w:val="false"/>
                <w:color w:val="94A3B8"/>
              </w:rPr>
              <w:t xml:space="preserve">Non démarré</w:t>
            </w:r>
          </w:p>
        </w:tc>
        <w:tc>
          <w:p>
            <w:r>
              <w:t xml:space="preserve">0</w:t>
            </w:r>
          </w:p>
        </w:tc>
        <w:tc>
          <w:p>
            <w:r>
              <w:t xml:space="preserve">—</w:t>
            </w:r>
          </w:p>
        </w:tc>
        <w:tc>
          <w:p>
            <w:r>
              <w:t xml:space="preserve">0 / 0</w:t>
            </w:r>
          </w:p>
        </w:tc>
        <w:tc>
          <w:p>
            <w:r>
              <w:rPr>
                <w:b w:val="false"/>
                <w:bCs w:val="false"/>
              </w:rPr>
              <w:t xml:space="preserve">0</w:t>
            </w:r>
          </w:p>
        </w:tc>
        <w:tc>
          <w:p>
            <w:r>
              <w:t xml:space="preserve">0</w:t>
            </w:r>
          </w:p>
        </w:tc>
      </w:tr>
      <w:tr>
        <w:tc>
          <w:p>
            <w:r>
              <w:rPr>
                <w:b/>
                <w:bCs/>
              </w:rPr>
              <w:t xml:space="preserve">Gestion risques</w:t>
            </w:r>
          </w:p>
        </w:tc>
        <w:tc>
          <w:p>
            <w:r>
              <w:rPr>
                <w:b w:val="false"/>
                <w:bCs w:val="false"/>
                <w:color w:val="94A3B8"/>
              </w:rPr>
              <w:t xml:space="preserve">Non démarré</w:t>
            </w:r>
          </w:p>
        </w:tc>
        <w:tc>
          <w:p>
            <w:r>
              <w:t xml:space="preserve">0</w:t>
            </w:r>
          </w:p>
        </w:tc>
        <w:tc>
          <w:p>
            <w:r>
              <w:t xml:space="preserve">—</w:t>
            </w:r>
          </w:p>
        </w:tc>
        <w:tc>
          <w:p>
            <w:r>
              <w:t xml:space="preserve">0 / 0</w:t>
            </w:r>
          </w:p>
        </w:tc>
        <w:tc>
          <w:p>
            <w:r>
              <w:rPr>
                <w:b w:val="false"/>
                <w:bCs w:val="false"/>
              </w:rPr>
              <w:t xml:space="preserve">0</w:t>
            </w:r>
          </w:p>
        </w:tc>
        <w:tc>
          <w:p>
            <w:r>
              <w:t xml:space="preserve">0</w:t>
            </w:r>
          </w:p>
        </w:tc>
      </w:tr>
      <w:tr>
        <w:tc>
          <w:p>
            <w:r>
              <w:rPr>
                <w:b/>
                <w:bCs/>
              </w:rPr>
              <w:t xml:space="preserve">Gouvernance IT</w:t>
            </w:r>
          </w:p>
        </w:tc>
        <w:tc>
          <w:p>
            <w:r>
              <w:rPr>
                <w:b w:val="false"/>
                <w:bCs w:val="false"/>
                <w:color w:val="94A3B8"/>
              </w:rPr>
              <w:t xml:space="preserve">Non démarré</w:t>
            </w:r>
          </w:p>
        </w:tc>
        <w:tc>
          <w:p>
            <w:r>
              <w:t xml:space="preserve">0</w:t>
            </w:r>
          </w:p>
        </w:tc>
        <w:tc>
          <w:p>
            <w:r>
              <w:t xml:space="preserve">—</w:t>
            </w:r>
          </w:p>
        </w:tc>
        <w:tc>
          <w:p>
            <w:r>
              <w:t xml:space="preserve">0 / 0</w:t>
            </w:r>
          </w:p>
        </w:tc>
        <w:tc>
          <w:p>
            <w:r>
              <w:rPr>
                <w:b w:val="false"/>
                <w:bCs w:val="false"/>
              </w:rPr>
              <w:t xml:space="preserve">0</w:t>
            </w:r>
          </w:p>
        </w:tc>
        <w:tc>
          <w:p>
            <w:r>
              <w:t xml:space="preserve">0</w:t>
            </w:r>
          </w:p>
        </w:tc>
      </w:tr>
      <w:tr>
        <w:tc>
          <w:p>
            <w:r>
              <w:rPr>
                <w:b/>
                <w:bCs/>
              </w:rPr>
              <w:t xml:space="preserve">Parc IT</w:t>
            </w:r>
          </w:p>
        </w:tc>
        <w:tc>
          <w:p>
            <w:r>
              <w:rPr>
                <w:b w:val="false"/>
                <w:bCs w:val="false"/>
                <w:color w:val="94A3B8"/>
              </w:rPr>
              <w:t xml:space="preserve">Non démarré</w:t>
            </w:r>
          </w:p>
        </w:tc>
        <w:tc>
          <w:p>
            <w:r>
              <w:t xml:space="preserve">0</w:t>
            </w:r>
          </w:p>
        </w:tc>
        <w:tc>
          <w:p>
            <w:r>
              <w:t xml:space="preserve">—</w:t>
            </w:r>
          </w:p>
        </w:tc>
        <w:tc>
          <w:p>
            <w:r>
              <w:t xml:space="preserve">0 / 0</w:t>
            </w:r>
          </w:p>
        </w:tc>
        <w:tc>
          <w:p>
            <w:r>
              <w:rPr>
                <w:b w:val="false"/>
                <w:bCs w:val="false"/>
              </w:rPr>
              <w:t xml:space="preserve">0</w:t>
            </w:r>
          </w:p>
        </w:tc>
        <w:tc>
          <w:p>
            <w:r>
              <w:t xml:space="preserve">0</w:t>
            </w:r>
          </w:p>
        </w:tc>
      </w:tr>
      <w:tr>
        <w:tc>
          <w:p>
            <w:r>
              <w:rPr>
                <w:b/>
                <w:bCs/>
              </w:rPr>
              <w:t xml:space="preserve">Sensibilisation</w:t>
            </w:r>
          </w:p>
        </w:tc>
        <w:tc>
          <w:p>
            <w:r>
              <w:rPr>
                <w:b w:val="false"/>
                <w:bCs w:val="false"/>
                <w:color w:val="94A3B8"/>
              </w:rPr>
              <w:t xml:space="preserve">Non démarré</w:t>
            </w:r>
          </w:p>
        </w:tc>
        <w:tc>
          <w:p>
            <w:r>
              <w:t xml:space="preserve">0</w:t>
            </w:r>
          </w:p>
        </w:tc>
        <w:tc>
          <w:p>
            <w:r>
              <w:t xml:space="preserve">—</w:t>
            </w:r>
          </w:p>
        </w:tc>
        <w:tc>
          <w:p>
            <w:r>
              <w:t xml:space="preserve">0 / 0</w:t>
            </w:r>
          </w:p>
        </w:tc>
        <w:tc>
          <w:p>
            <w:r>
              <w:rPr>
                <w:b w:val="false"/>
                <w:bCs w:val="false"/>
              </w:rPr>
              <w:t xml:space="preserve">0</w:t>
            </w:r>
          </w:p>
        </w:tc>
        <w:tc>
          <w:p>
            <w:r>
              <w:t xml:space="preserve">0</w:t>
            </w:r>
          </w:p>
        </w:tc>
      </w:tr>
      <w:tr>
        <w:tc>
          <w:p>
            <w:r>
              <w:rPr>
                <w:b/>
                <w:bCs/>
              </w:rPr>
              <w:t xml:space="preserve">Google Workspace</w:t>
            </w:r>
          </w:p>
        </w:tc>
        <w:tc>
          <w:p>
            <w:r>
              <w:rPr>
                <w:b/>
                <w:bCs/>
                <w:color w:val="6366F1"/>
              </w:rPr>
              <w:t xml:space="preserve">Couvert</w:t>
            </w:r>
          </w:p>
        </w:tc>
        <w:tc>
          <w:p>
            <w:r>
              <w:t xml:space="preserve">15</w:t>
            </w:r>
          </w:p>
        </w:tc>
        <w:tc>
          <w:p>
            <w:r>
              <w:t xml:space="preserve">17/100</w:t>
            </w:r>
          </w:p>
        </w:tc>
        <w:tc>
          <w:p>
            <w:r>
              <w:t xml:space="preserve">5 / 10</w:t>
            </w:r>
          </w:p>
        </w:tc>
        <w:tc>
          <w:p>
            <w:r>
              <w:rPr>
                <w:b w:val="false"/>
                <w:bCs w:val="false"/>
              </w:rPr>
              <w:t xml:space="preserve">0</w:t>
            </w:r>
          </w:p>
        </w:tc>
        <w:tc>
          <w:p>
            <w:r>
              <w:t xml:space="preserve">0</w:t>
            </w:r>
          </w:p>
        </w:tc>
      </w:tr>
    </w:tbl>
    <w:p>
      <w:pPr>
        <w:pStyle w:val="Heading3"/>
        <w:spacing w:after="80" w:before="200"/>
      </w:pPr>
      <w:r>
        <w:rPr>
          <w:b/>
          <w:bCs/>
          <w:sz w:val="22"/>
          <w:szCs w:val="22"/>
        </w:rPr>
        <w:t xml:space="preserve">Diag IT N1 — détail par catégorie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Identité &amp; accès : 50/100 (3/3 réponses · 1P / 1N)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Gouvernance SI : 25/100 (2/2 réponses · 1P / 1N)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Cybersécurité : 25/100 (4/4 réponses · 0P / 3N)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Continuité &amp; incidents : 30/100 (5/5 réponses · 1P / 3N)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Données personnelles &amp; RGPD : 17/100 (3/3 réponses · 1P / 2N)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Prestataires &amp; cloud : 33/100 (3/3 réponses · 0P / 2N)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Sensibilisation : 0/100 (1/1 réponses · 0P / 1N)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Conformité 2026+ : 30/100 (5/5 réponses · 1P / 3N)</w:t>
      </w:r>
    </w:p>
    <w:p>
      <w:pPr>
        <w:pStyle w:val="Heading3"/>
        <w:spacing w:after="80" w:before="200"/>
      </w:pPr>
      <w:r>
        <w:rPr>
          <w:b/>
          <w:bCs/>
          <w:sz w:val="22"/>
          <w:szCs w:val="22"/>
        </w:rPr>
        <w:t xml:space="preserve">Diag IT N2 — détail par catégorie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Identité &amp; accès : — (0/7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Gouvernance &amp; organisation : — (0/7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Sécurité réseau : — (0/6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Postes &amp; mobilité : — (0/6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Supervision &amp; détection : — (0/5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Sauvegardes &amp; continuité : — (0/6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Infrastructure &amp; architecture : — (0/7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Messagerie &amp; collaboration : — (0/5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Cloud &amp; SaaS : — (0/6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Données &amp; RGPD : — (0/7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Prestataires &amp; contrats : — (0/6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Sensibilisation &amp; culture : — (0/6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IA &amp; innovation : — (0/6 réponses · 0P / 0N)</w:t>
      </w:r>
    </w:p>
    <w:p>
      <w:pPr>
        <w:pStyle w:val="Heading3"/>
        <w:spacing w:after="80" w:before="200"/>
      </w:pPr>
      <w:r>
        <w:rPr>
          <w:b/>
          <w:bCs/>
          <w:sz w:val="22"/>
          <w:szCs w:val="22"/>
        </w:rPr>
        <w:t xml:space="preserve">Modern Workplace — détail par catégorie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Identité &amp; accès : — (0/5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Productivité &amp; collaboration : — (0/5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Endpoint &amp; sécurité poste : — (0/6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Communication &amp; visio : — (0/5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Stockage &amp; sauvegarde : — (0/6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Souveraineté &amp; conformité : — (0/8 réponses · 0P / 0N)</w:t>
      </w:r>
    </w:p>
    <w:p>
      <w:pPr>
        <w:pStyle w:val="Heading3"/>
        <w:spacing w:after="80" w:before="200"/>
      </w:pPr>
      <w:r>
        <w:rPr>
          <w:b/>
          <w:bCs/>
          <w:sz w:val="22"/>
          <w:szCs w:val="22"/>
        </w:rPr>
        <w:t xml:space="preserve">Zero Trust — détail par catégorie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Identité : — (0/9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Appareils : — (0/8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Réseau : — (0/8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Applications : — (0/8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Données : — (0/8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Visibilité &amp; Automatisation : — (0/9 réponses · 0P / 0N)</w:t>
      </w:r>
    </w:p>
    <w:p>
      <w:pPr>
        <w:pStyle w:val="Heading3"/>
        <w:spacing w:after="80" w:before="200"/>
      </w:pPr>
      <w:r>
        <w:rPr>
          <w:b/>
          <w:bCs/>
          <w:sz w:val="22"/>
          <w:szCs w:val="22"/>
        </w:rPr>
        <w:t xml:space="preserve">Auto &amp; IA — détail par catégorie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Stratégie &amp; cas d'usage : — (0/6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Gouvernance &amp; AI Act : — (0/7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Données &amp; qualité : — (0/6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Sécurité IA : — (0/7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Adoption : — (0/4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Automatisation processus : — (0/4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Performance &amp; FinOps IA : — (0/8 réponses · 0P / 0N)</w:t>
      </w:r>
    </w:p>
    <w:p>
      <w:pPr>
        <w:pStyle w:val="Heading3"/>
        <w:spacing w:after="80" w:before="200"/>
      </w:pPr>
      <w:r>
        <w:rPr>
          <w:b/>
          <w:bCs/>
          <w:sz w:val="22"/>
          <w:szCs w:val="22"/>
        </w:rPr>
        <w:t xml:space="preserve">Entretien dirigeant — détail par catégorie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Irritants : — (0/1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Continuité : — (0/1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Vision : — (0/1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Pilotage : — (0/1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Décision : — (0/1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Posture : — (0/1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Dépendances : — (0/1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Incidents : — (0/1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ROI : — (0/1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Trajectoire : — (0/1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Mandat : — (0/1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Clôture : — (0/3 réponses · 0P / 0N)</w:t>
      </w:r>
    </w:p>
    <w:p>
      <w:pPr>
        <w:pStyle w:val="Heading3"/>
        <w:spacing w:after="80" w:before="200"/>
      </w:pPr>
      <w:r>
        <w:rPr>
          <w:b/>
          <w:bCs/>
          <w:sz w:val="22"/>
          <w:szCs w:val="22"/>
        </w:rPr>
        <w:t xml:space="preserve">France Num — détail par catégorie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Présence en ligne : — (0/3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Relation client &amp; CRM : — (0/3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Vente en ligne &amp; canaux digitaux : — (0/3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Processus &amp; opérations numériques : — (0/3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Sécurité numérique de base : — (0/3 réponses · 0P / 0N)</w:t>
      </w:r>
    </w:p>
    <w:p>
      <w:pPr>
        <w:pStyle w:val="Heading3"/>
        <w:spacing w:after="80" w:before="200"/>
      </w:pPr>
      <w:r>
        <w:rPr>
          <w:b/>
          <w:bCs/>
          <w:sz w:val="22"/>
          <w:szCs w:val="22"/>
        </w:rPr>
        <w:t xml:space="preserve">PCA/PRA — détail par catégorie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Gouvernance &amp; périmètre PCA/PRA : — (0/3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Analyse d'impact BIA : — (0/3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Stratégies de continuité : — (0/3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Plans PCA/PRA documentation : — (0/2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Tests &amp; exercices : — (0/3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Intégration cyber : — (0/1 réponses · 0P / 0N)</w:t>
      </w:r>
    </w:p>
    <w:p>
      <w:pPr>
        <w:pStyle w:val="Heading3"/>
        <w:spacing w:after="80" w:before="200"/>
      </w:pPr>
      <w:r>
        <w:rPr>
          <w:b/>
          <w:bCs/>
          <w:sz w:val="22"/>
          <w:szCs w:val="22"/>
        </w:rPr>
        <w:t xml:space="preserve">Adoption ADKAR — détail par catégorie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Awareness : — (0/3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Desire : — (0/3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Knowledge : — (0/3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Ability : — (0/3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Reinforcement : — (0/3 réponses · 0P / 0N)</w:t>
      </w:r>
    </w:p>
    <w:p>
      <w:pPr>
        <w:pStyle w:val="Heading3"/>
        <w:spacing w:after="80" w:before="200"/>
      </w:pPr>
      <w:r>
        <w:rPr>
          <w:b/>
          <w:bCs/>
          <w:sz w:val="22"/>
          <w:szCs w:val="22"/>
        </w:rPr>
        <w:t xml:space="preserve">Zachman SI — détail par catégorie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Données (What) : — (0/2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Fonctions (How) : — (0/2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Réseaux (Where) : — (0/2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Personnes (Who) : — (0/2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Temps (When) : — (0/2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Motivations (Why) : — (0/2 réponses · 0P / 0N)</w:t>
      </w:r>
    </w:p>
    <w:p>
      <w:pPr>
        <w:pStyle w:val="Heading3"/>
        <w:spacing w:after="80" w:before="200"/>
      </w:pPr>
      <w:r>
        <w:rPr>
          <w:b/>
          <w:bCs/>
          <w:sz w:val="22"/>
          <w:szCs w:val="22"/>
        </w:rPr>
        <w:t xml:space="preserve">RGPD — détail par catégorie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Pilotage de la protection des données : — (0/2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Cartographie &amp; registre des traitements : — (0/2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Analyse d'impact &amp; gestion des risques (DPIA) : — (0/2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Gestion des droits des personnes : — (0/2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Information &amp; transparence : — (0/2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Sécurité des données : — (0/2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Encadrement sous-traitants &amp; transferts : — (0/2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Sensibilisation &amp; culture RGPD : — (0/2 réponses · 0P / 0N)</w:t>
      </w:r>
    </w:p>
    <w:p>
      <w:pPr>
        <w:pStyle w:val="Heading3"/>
        <w:spacing w:after="80" w:before="200"/>
      </w:pPr>
      <w:r>
        <w:rPr>
          <w:b/>
          <w:bCs/>
          <w:sz w:val="22"/>
          <w:szCs w:val="22"/>
        </w:rPr>
        <w:t xml:space="preserve">Gestion risques — détail par catégorie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Gouvernance &amp; politique risques : — (0/2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Méthodologie &amp; approche : — (0/2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Registre des risques : — (0/2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Traitement des risques : — (0/2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Suivi &amp; revue : — (0/2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Intégration décisionnelle : — (0/2 réponses · 0P / 0N)</w:t>
      </w:r>
    </w:p>
    <w:p>
      <w:pPr>
        <w:pStyle w:val="Heading3"/>
        <w:spacing w:after="80" w:before="200"/>
      </w:pPr>
      <w:r>
        <w:rPr>
          <w:b/>
          <w:bCs/>
          <w:sz w:val="22"/>
          <w:szCs w:val="22"/>
        </w:rPr>
        <w:t xml:space="preserve">Gouvernance IT — détail par catégorie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Alignement stratégique IT/métier : — (0/2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Comités &amp; instances de pilotage : — (0/2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Budget &amp; investissement IT : — (0/2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Gestion fournisseurs &amp; contrats : — (0/2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Indicateurs &amp; reporting : — (0/2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Gestion du portefeuille projets IT : — (0/2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Ressources &amp; compétences IT : — (0/2 réponses · 0P / 0N)</w:t>
      </w:r>
    </w:p>
    <w:p>
      <w:pPr>
        <w:pStyle w:val="Heading3"/>
        <w:spacing w:after="80" w:before="200"/>
      </w:pPr>
      <w:r>
        <w:rPr>
          <w:b/>
          <w:bCs/>
          <w:sz w:val="22"/>
          <w:szCs w:val="22"/>
        </w:rPr>
        <w:t xml:space="preserve">Parc IT — détail par catégorie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Inventaire &amp; découverte : — (0/2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Lifecycle postes &amp; serveurs : — (0/2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Gestion licences logicielles : — (0/2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Contrats &amp; garanties : — (0/2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Obsolescence &amp; dette technique : — (0/2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Lien avec sécurité : — (0/2 réponses · 0P / 0N)</w:t>
      </w:r>
    </w:p>
    <w:p>
      <w:pPr>
        <w:pStyle w:val="Heading3"/>
        <w:spacing w:after="80" w:before="200"/>
      </w:pPr>
      <w:r>
        <w:rPr>
          <w:b/>
          <w:bCs/>
          <w:sz w:val="22"/>
          <w:szCs w:val="22"/>
        </w:rPr>
        <w:t xml:space="preserve">Sensibilisation — détail par catégorie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Programme de sensibilisation : — (0/2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Campagnes phishing simulé : — (0/2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Communication interne &amp; supports : — (0/2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Suivi &amp; indicateurs : — (0/2 réponses · 0P / 0N)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Sponsoring management &amp; intégration gouvernance : — (0/2 réponses · 0P / 0N)</w:t>
      </w:r>
    </w:p>
    <w:p>
      <w:pPr>
        <w:pStyle w:val="Heading3"/>
        <w:spacing w:after="80" w:before="200"/>
      </w:pPr>
      <w:r>
        <w:rPr>
          <w:b/>
          <w:bCs/>
          <w:sz w:val="22"/>
          <w:szCs w:val="22"/>
        </w:rPr>
        <w:t xml:space="preserve">Google Workspace — détail par catégorie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Identite &amp; 2SV : 20/100 (5/5 réponses · 2P / 3N)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Partage &amp; DLP : 13/100 (4/4 réponses · 1P / 3N)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Securite email : 17/100 (3/3 réponses · 1P / 2N)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Mobilite : 25/100 (2/2 réponses · 1P / 1N)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Gouvernance : 0/100 (1/3 réponses · 0P / 1N)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Conformite : — (0/3 réponses · 0P / 0N)</w:t>
      </w:r>
    </w:p>
    <w:p>
      <w:pPr>
        <w:pStyle w:val="Heading3"/>
        <w:spacing w:after="80" w:before="200"/>
      </w:pPr>
      <w:r>
        <w:rPr>
          <w:b/>
          <w:bCs/>
          <w:sz w:val="22"/>
          <w:szCs w:val="22"/>
        </w:rPr>
        <w:t xml:space="preserve">Données manquantes critiques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Sponsor mission non désigné</w:t>
      </w:r>
    </w:p>
    <w:p>
      <w:pPr>
        <w:pStyle w:val="Heading1"/>
        <w:pageBreakBefore/>
        <w:spacing w:after="160" w:before="320"/>
      </w:pPr>
      <w:r>
        <w:rPr>
          <w:b/>
          <w:bCs/>
          <w:color w:val="6366F1"/>
          <w:sz w:val="36"/>
          <w:szCs w:val="36"/>
        </w:rPr>
        <w:t xml:space="preserve">5. Constats par axe</w:t>
      </w:r>
    </w:p>
    <w:tbl>
      <w:tblPr>
        <w:tblW w:type="pct" w:w="100%"/>
        <w:tblBorders>
          <w:top w:val="single" w:color="F59E0B" w:sz="8"/>
          <w:left w:val="single" w:color="F59E0B" w:sz="8"/>
          <w:bottom w:val="single" w:color="F59E0B" w:sz="8"/>
          <w:right w:val="single" w:color="F59E0B" w:sz="8"/>
          <w:insideH w:val="none" w:color="auto" w:sz="0"/>
          <w:insideV w:val="none" w:color="auto" w:sz="0"/>
        </w:tblBorders>
      </w:tblPr>
      <w:tblGrid>
        <w:gridCol w:w="100"/>
      </w:tblGrid>
      <w:tr>
        <w:tc>
          <w:tcPr>
            <w:shd w:fill="FEF3C7"/>
          </w:tcPr>
          <w:p>
            <w:pPr>
              <w:spacing w:after="60"/>
            </w:pPr>
            <w:r>
              <w:rPr>
                <w:b/>
                <w:bCs/>
                <w:color w:val="92400E"/>
              </w:rPr>
              <w:t xml:space="preserve">Analyse IA indisponible — voir les KPI bruts ci-dessous</w:t>
            </w:r>
          </w:p>
          <w:p>
            <w:r>
              <w:rPr>
                <w:i/>
                <w:iCs/>
                <w:color w:val="92400E"/>
              </w:rPr>
              <w:t xml:space="preserve">Le module d'analyse IA n'a pas pu produire de prose structurée pour ce contexte. Les sections concernées sont remplacées par les indicateurs déterministes (couverture diags, signaux Partiel/Non, données manquantes).</w:t>
            </w:r>
          </w:p>
        </w:tc>
      </w:tr>
    </w:tbl>
    <w:p>
      <w:pPr>
        <w:pStyle w:val="Heading2"/>
        <w:spacing w:after="120" w:before="240"/>
      </w:pPr>
      <w:r>
        <w:rPr>
          <w:b/>
          <w:bCs/>
          <w:color w:val="6366F1"/>
          <w:sz w:val="26"/>
          <w:szCs w:val="26"/>
        </w:rPr>
        <w:t xml:space="preserve">Diag IT N1</w:t>
      </w:r>
    </w:p>
    <w:p>
      <w:pPr>
        <w:spacing w:after="120"/>
      </w:pPr>
      <w:r>
        <w:rPr>
          <w:i/>
          <w:iCs/>
          <w:color w:val="475569"/>
        </w:rPr>
        <w:t xml:space="preserve">26 réponses · score moyen 29/100 · 5P / 16N.</w:t>
      </w:r>
    </w:p>
    <w:p>
      <w:pPr>
        <w:spacing w:after="40" w:before="80"/>
      </w:pPr>
      <w:r>
        <w:rPr>
          <w:b/>
          <w:bCs/>
          <w:color w:val="6366F1"/>
        </w:rPr>
        <w:t xml:space="preserve">[Partiel] Q22</w:t>
      </w:r>
    </w:p>
    <w:p>
      <w:pPr>
        <w:spacing w:after="40" w:before="80"/>
      </w:pPr>
      <w:r>
        <w:rPr>
          <w:b/>
          <w:bCs/>
          <w:color w:val="6366F1"/>
        </w:rPr>
        <w:t xml:space="preserve">[Non] Q23</w:t>
      </w:r>
    </w:p>
    <w:p>
      <w:pPr>
        <w:spacing w:after="40" w:before="80"/>
      </w:pPr>
      <w:r>
        <w:rPr>
          <w:b/>
          <w:bCs/>
          <w:color w:val="6366F1"/>
        </w:rPr>
        <w:t xml:space="preserve">[Non] Q01</w:t>
      </w:r>
    </w:p>
    <w:p>
      <w:pPr>
        <w:pStyle w:val="Heading2"/>
        <w:spacing w:after="120" w:before="240"/>
      </w:pPr>
      <w:r>
        <w:rPr>
          <w:b/>
          <w:bCs/>
          <w:color w:val="6366F1"/>
          <w:sz w:val="26"/>
          <w:szCs w:val="26"/>
        </w:rPr>
        <w:t xml:space="preserve">Google Workspace</w:t>
      </w:r>
    </w:p>
    <w:p>
      <w:pPr>
        <w:spacing w:after="120"/>
      </w:pPr>
      <w:r>
        <w:rPr>
          <w:i/>
          <w:iCs/>
          <w:color w:val="475569"/>
        </w:rPr>
        <w:t xml:space="preserve">15 réponses · score moyen 17/100 · 5P / 10N.</w:t>
      </w:r>
    </w:p>
    <w:p>
      <w:pPr>
        <w:spacing w:after="40" w:before="80"/>
      </w:pPr>
      <w:r>
        <w:rPr>
          <w:b/>
          <w:bCs/>
          <w:color w:val="6366F1"/>
        </w:rPr>
        <w:t xml:space="preserve">[Partiel] GWS01</w:t>
      </w:r>
    </w:p>
    <w:p>
      <w:pPr>
        <w:spacing w:after="40" w:before="80"/>
      </w:pPr>
      <w:r>
        <w:rPr>
          <w:b/>
          <w:bCs/>
          <w:color w:val="6366F1"/>
        </w:rPr>
        <w:t xml:space="preserve">[Non] GWS02</w:t>
      </w:r>
    </w:p>
    <w:p>
      <w:pPr>
        <w:spacing w:after="40" w:before="80"/>
      </w:pPr>
      <w:r>
        <w:rPr>
          <w:b/>
          <w:bCs/>
          <w:color w:val="6366F1"/>
        </w:rPr>
        <w:t xml:space="preserve">[Non] GWS03</w:t>
      </w:r>
    </w:p>
    <w:p>
      <w:pPr>
        <w:pStyle w:val="Heading1"/>
        <w:pageBreakBefore/>
        <w:spacing w:after="160" w:before="320"/>
      </w:pPr>
      <w:r>
        <w:rPr>
          <w:b/>
          <w:bCs/>
          <w:color w:val="6366F1"/>
          <w:sz w:val="36"/>
          <w:szCs w:val="36"/>
        </w:rPr>
        <w:t xml:space="preserve">6. Croisement enjeux business / IT</w:t>
      </w:r>
    </w:p>
    <w:tbl>
      <w:tblPr>
        <w:tblW w:type="pct" w:w="100%"/>
        <w:tblBorders>
          <w:top w:val="single" w:color="F59E0B" w:sz="8"/>
          <w:left w:val="single" w:color="F59E0B" w:sz="8"/>
          <w:bottom w:val="single" w:color="F59E0B" w:sz="8"/>
          <w:right w:val="single" w:color="F59E0B" w:sz="8"/>
          <w:insideH w:val="none" w:color="auto" w:sz="0"/>
          <w:insideV w:val="none" w:color="auto" w:sz="0"/>
        </w:tblBorders>
      </w:tblPr>
      <w:tblGrid>
        <w:gridCol w:w="100"/>
      </w:tblGrid>
      <w:tr>
        <w:tc>
          <w:tcPr>
            <w:shd w:fill="FEF3C7"/>
          </w:tcPr>
          <w:p>
            <w:pPr>
              <w:spacing w:after="60"/>
            </w:pPr>
            <w:r>
              <w:rPr>
                <w:b/>
                <w:bCs/>
                <w:color w:val="92400E"/>
              </w:rPr>
              <w:t xml:space="preserve">Analyse IA indisponible — voir les KPI bruts ci-dessous</w:t>
            </w:r>
          </w:p>
          <w:p>
            <w:r>
              <w:rPr>
                <w:i/>
                <w:iCs/>
                <w:color w:val="92400E"/>
              </w:rPr>
              <w:t xml:space="preserve">Le module d'analyse IA n'a pas pu produire de prose structurée pour ce contexte. Les sections concernées sont remplacées par les indicateurs déterministes (couverture diags, signaux Partiel/Non, données manquantes).</w:t>
            </w:r>
          </w:p>
        </w:tc>
      </w:tr>
    </w:tbl>
    <w:p>
      <w:pPr>
        <w:spacing w:after="120"/>
      </w:pPr>
      <w:r>
        <w:rPr>
          <w:i/>
          <w:iCs/>
          <w:color w:val="475569"/>
        </w:rPr>
        <w:t xml:space="preserve">Enjeux business identifiés (rappel) 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continuite-activite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relation-client</w:t>
      </w:r>
    </w:p>
    <w:p>
      <w:pPr>
        <w:pStyle w:val="Heading1"/>
        <w:pageBreakBefore/>
        <w:spacing w:after="160" w:before="320"/>
      </w:pPr>
      <w:r>
        <w:rPr>
          <w:b/>
          <w:bCs/>
          <w:color w:val="6366F1"/>
          <w:sz w:val="36"/>
          <w:szCs w:val="36"/>
        </w:rPr>
        <w:t xml:space="preserve">7. Risques prioritaires</w:t>
      </w:r>
    </w:p>
    <w:p>
      <w:pPr>
        <w:pStyle w:val="Heading2"/>
        <w:spacing w:after="120" w:before="240"/>
      </w:pPr>
      <w:r>
        <w:rPr>
          <w:b/>
          <w:bCs/>
          <w:color w:val="6366F1"/>
          <w:sz w:val="26"/>
          <w:szCs w:val="26"/>
        </w:rPr>
        <w:t xml:space="preserve">7.b Lecture consolidée</w:t>
      </w:r>
    </w:p>
    <w:tbl>
      <w:tblPr>
        <w:tblW w:type="pct" w:w="100%"/>
        <w:tblBorders>
          <w:top w:val="single" w:color="F59E0B" w:sz="8"/>
          <w:left w:val="single" w:color="F59E0B" w:sz="8"/>
          <w:bottom w:val="single" w:color="F59E0B" w:sz="8"/>
          <w:right w:val="single" w:color="F59E0B" w:sz="8"/>
          <w:insideH w:val="none" w:color="auto" w:sz="0"/>
          <w:insideV w:val="none" w:color="auto" w:sz="0"/>
        </w:tblBorders>
      </w:tblPr>
      <w:tblGrid>
        <w:gridCol w:w="100"/>
      </w:tblGrid>
      <w:tr>
        <w:tc>
          <w:tcPr>
            <w:shd w:fill="FEF3C7"/>
          </w:tcPr>
          <w:p>
            <w:pPr>
              <w:spacing w:after="60"/>
            </w:pPr>
            <w:r>
              <w:rPr>
                <w:b/>
                <w:bCs/>
                <w:color w:val="92400E"/>
              </w:rPr>
              <w:t xml:space="preserve">Analyse IA indisponible — voir les KPI bruts ci-dessous</w:t>
            </w:r>
          </w:p>
          <w:p>
            <w:r>
              <w:rPr>
                <w:i/>
                <w:iCs/>
                <w:color w:val="92400E"/>
              </w:rPr>
              <w:t xml:space="preserve">Le module d'analyse IA n'a pas pu produire de prose structurée pour ce contexte. Les sections concernées sont remplacées par les indicateurs déterministes (couverture diags, signaux Partiel/Non, données manquantes).</w:t>
            </w:r>
          </w:p>
        </w:tc>
      </w:tr>
    </w:tbl>
    <w:p>
      <w:pPr>
        <w:pStyle w:val="Heading1"/>
        <w:pageBreakBefore/>
        <w:spacing w:after="160" w:before="320"/>
      </w:pPr>
      <w:r>
        <w:rPr>
          <w:b/>
          <w:bCs/>
          <w:color w:val="6366F1"/>
          <w:sz w:val="36"/>
          <w:szCs w:val="36"/>
        </w:rPr>
        <w:t xml:space="preserve">8. Plan d'action 30 / 60 / 90 jours</w:t>
      </w:r>
    </w:p>
    <w:tbl>
      <w:tblPr>
        <w:tblW w:type="pct" w:w="100%"/>
        <w:tblBorders>
          <w:top w:val="single" w:color="F59E0B" w:sz="8"/>
          <w:left w:val="single" w:color="F59E0B" w:sz="8"/>
          <w:bottom w:val="single" w:color="F59E0B" w:sz="8"/>
          <w:right w:val="single" w:color="F59E0B" w:sz="8"/>
          <w:insideH w:val="none" w:color="auto" w:sz="0"/>
          <w:insideV w:val="none" w:color="auto" w:sz="0"/>
        </w:tblBorders>
      </w:tblPr>
      <w:tblGrid>
        <w:gridCol w:w="100"/>
      </w:tblGrid>
      <w:tr>
        <w:tc>
          <w:tcPr>
            <w:shd w:fill="FEF3C7"/>
          </w:tcPr>
          <w:p>
            <w:pPr>
              <w:spacing w:after="60"/>
            </w:pPr>
            <w:r>
              <w:rPr>
                <w:b/>
                <w:bCs/>
                <w:color w:val="92400E"/>
              </w:rPr>
              <w:t xml:space="preserve">Analyse IA indisponible — voir les KPI bruts ci-dessous</w:t>
            </w:r>
          </w:p>
          <w:p>
            <w:r>
              <w:rPr>
                <w:i/>
                <w:iCs/>
                <w:color w:val="92400E"/>
              </w:rPr>
              <w:t xml:space="preserve">Le module d'analyse IA n'a pas pu produire de prose structurée pour ce contexte. Les sections concernées sont remplacées par les indicateurs déterministes (couverture diags, signaux Partiel/Non, données manquantes).</w:t>
            </w:r>
          </w:p>
        </w:tc>
      </w:tr>
    </w:tbl>
    <w:p>
      <w:pPr>
        <w:pStyle w:val="Heading1"/>
        <w:pageBreakBefore/>
        <w:spacing w:after="160" w:before="320"/>
      </w:pPr>
      <w:r>
        <w:rPr>
          <w:b/>
          <w:bCs/>
          <w:color w:val="6366F1"/>
          <w:sz w:val="36"/>
          <w:szCs w:val="36"/>
        </w:rPr>
        <w:t xml:space="preserve">9. Recommandation de cadrage</w:t>
      </w:r>
    </w:p>
    <w:p>
      <w:pPr>
        <w:spacing w:after="120"/>
      </w:pPr>
      <w:r>
        <w:rPr>
          <w:b/>
          <w:bCs/>
          <w:color w:val="6366F1"/>
          <w:sz w:val="28"/>
          <w:szCs w:val="28"/>
        </w:rPr>
        <w:t xml:space="preserve">Prêt pour SOW — DSI temps partagé recommandé</w:t>
      </w:r>
    </w:p>
    <w:p>
      <w:pPr>
        <w:spacing w:after="120"/>
      </w:pPr>
      <w:r>
        <w:t xml:space="preserve">2 diagnostics couverts, 36 signaux Partiel/Non à creuser. Le périmètre est suffisamment cadré pour proposer un SOW DSI temps partagé.</w:t>
      </w:r>
    </w:p>
    <w:p>
      <w:pPr>
        <w:pStyle w:val="Heading1"/>
        <w:pageBreakBefore/>
        <w:spacing w:after="160" w:before="320"/>
      </w:pPr>
      <w:r>
        <w:rPr>
          <w:b/>
          <w:bCs/>
          <w:color w:val="6366F1"/>
          <w:sz w:val="36"/>
          <w:szCs w:val="36"/>
        </w:rPr>
        <w:t xml:space="preserve">10. Liens avec les livrables existants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Mini-audit MA-TEST-TPE-001-cmq11v — statut : delivered · score 28/100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Aucun SOW signé / accepté en cours.</w:t>
      </w:r>
    </w:p>
    <w:p>
      <w:pPr>
        <w:pStyle w:val="Heading1"/>
        <w:pageBreakBefore/>
        <w:spacing w:after="160" w:before="320"/>
      </w:pPr>
      <w:r>
        <w:rPr>
          <w:b/>
          <w:bCs/>
          <w:color w:val="6366F1"/>
          <w:sz w:val="36"/>
          <w:szCs w:val="36"/>
        </w:rPr>
        <w:t xml:space="preserve">Annexe A — À propos de Stelysia</w:t>
      </w:r>
    </w:p>
    <w:p>
      <w:pPr>
        <w:spacing w:after="120"/>
      </w:pPr>
      <w:r>
        <w:rPr>
          <w:i/>
          <w:iCs/>
          <w:color w:val="475569"/>
        </w:rPr>
        <w:t xml:space="preserve">DSI à temps partagé pour PME et ETI</w:t>
      </w:r>
    </w:p>
    <w:p>
      <w:pPr>
        <w:pStyle w:val="Heading2"/>
        <w:spacing w:after="120" w:before="240"/>
      </w:pPr>
      <w:r>
        <w:rPr>
          <w:b/>
          <w:bCs/>
          <w:color w:val="6366F1"/>
          <w:sz w:val="26"/>
          <w:szCs w:val="26"/>
        </w:rPr>
        <w:t xml:space="preserve">Notre rôle — 4 verbes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Analyser — </w:t>
      </w:r>
      <w:r>
        <w:t xml:space="preserve">Lire la situation IT au regard des enjeux business du dirigeant, sans jargon ni biais éditeur.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Piloter — </w:t>
      </w:r>
      <w:r>
        <w:t xml:space="preserve">Tenir le cap des chantiers IT (sécurité, conformité, projets) sans se substituer aux équipes opérationnelles.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Arbitrer — </w:t>
      </w:r>
      <w:r>
        <w:t xml:space="preserve">Choisir entre options techniques, contractuelles ou financières sur la base de critères objectifs et tracés.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Restituer — </w:t>
      </w:r>
      <w:r>
        <w:t xml:space="preserve">Rendre compte au dirigeant en langage de décision : décisions à prendre, risques, budgets, jalons.</w:t>
      </w:r>
    </w:p>
    <w:p>
      <w:pPr>
        <w:pStyle w:val="Heading2"/>
        <w:spacing w:after="120" w:before="240"/>
      </w:pPr>
      <w:r>
        <w:rPr>
          <w:b/>
          <w:bCs/>
          <w:color w:val="6366F1"/>
          <w:sz w:val="26"/>
          <w:szCs w:val="26"/>
        </w:rPr>
        <w:t xml:space="preserve">Frontière MOA / MOE</w:t>
      </w:r>
    </w:p>
    <w:p>
      <w:pPr>
        <w:spacing w:after="80"/>
      </w:pPr>
      <w:r>
        <w:rPr>
          <w:b/>
          <w:bCs/>
        </w:rPr>
        <w:t xml:space="preserve">Ce que nous faisons 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Analyse, pilotage, arbitrage, restitution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Cadrage et rédaction de cahiers des charges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Sélection prestataires (RFP, RFI, scoring)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Pilotage de la conformité (RGPD, sécurité, souveraineté)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Gouvernance IT et reporting dirigeant</w:t>
      </w:r>
    </w:p>
    <w:p>
      <w:pPr>
        <w:spacing w:after="80" w:before="120"/>
      </w:pPr>
      <w:r>
        <w:rPr>
          <w:b/>
          <w:bCs/>
        </w:rPr>
        <w:t xml:space="preserve">Ce que nous ne faisons pas 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Mise en œuvre technique (MOE) — déploiements, configurations, intégrations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Tierce maintenance applicative ou infogérance opérationnelle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Hotline utilisateur ou support N1/N2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Revente de licences éditeur (sauf demande explicite, voir CGV art. 7.2)</w:t>
      </w:r>
    </w:p>
    <w:p>
      <w:pPr>
        <w:pStyle w:val="Heading2"/>
        <w:spacing w:after="120" w:before="240"/>
      </w:pPr>
      <w:r>
        <w:rPr>
          <w:b/>
          <w:bCs/>
          <w:color w:val="6366F1"/>
          <w:sz w:val="26"/>
          <w:szCs w:val="26"/>
        </w:rPr>
        <w:t xml:space="preserve">Souveraineté</w:t>
      </w:r>
    </w:p>
    <w:p>
      <w:pPr>
        <w:spacing w:after="200"/>
      </w:pPr>
      <w:r>
        <w:rPr>
          <w:b/>
          <w:bCs/>
        </w:rPr>
        <w:t xml:space="preserve">Ordre de préférence : FR &gt; EU &gt; US. </w:t>
      </w:r>
      <w:r>
        <w:t xml:space="preserve">Préférer les solutions souveraines françaises ou européennes lorsqu'elles couvrent fonctionnellement le besoin. Une solution US n'est retenue que si aucune alternative FR/EU ne couvre le besoin métier ou si le client ancre déjà sa stack chez un éditeur US et que la bascule serait disproportionnée.</w:t>
      </w:r>
    </w:p>
    <w:p>
      <w:pPr>
        <w:pStyle w:val="Heading1"/>
        <w:pageBreakBefore/>
        <w:spacing w:after="160" w:before="320"/>
      </w:pPr>
      <w:r>
        <w:rPr>
          <w:b/>
          <w:bCs/>
          <w:color w:val="6366F1"/>
          <w:sz w:val="36"/>
          <w:szCs w:val="36"/>
        </w:rPr>
        <w:t xml:space="preserve">Annexe B — Méta-analyse IA</w:t>
      </w:r>
    </w:p>
    <w:p>
      <w:pPr>
        <w:spacing w:after="120"/>
      </w:pPr>
      <w:r>
        <w:rPr>
          <w:i/>
          <w:iCs/>
          <w:color w:val="92400E"/>
        </w:rPr>
        <w:t xml:space="preserve">Analyse non générée — IA indisponible. Le livrable a été produit en mode fallback déterministe (KPI bruts + structure statique).</w:t>
      </w:r>
    </w:p>
    <w:sectPr>
      <w:headerReference w:type="default" r:id="rId7"/>
      <w:headerReference w:type="first" r:id="rId8"/>
      <w:footerReference w:type="default" r:id="rId9"/>
      <w:footerReference w:type="first" r:id="rId10"/>
      <w:pgSz w:w="11906" w:h="16838" w:orient="portrait"/>
      <w:pgMar w:top="1100" w:right="1100" w:bottom="1100" w:left="1100" w:header="708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99999"/>
        <w:sz w:val="14"/>
        <w:szCs w:val="14"/>
      </w:rPr>
      <w:t xml:space="preserve">Stelysia · SIRET 79109030100015 · 28 Avenue Mal Leclerc et de sa Division, 94380 Bonneuil-sur-Marne</w:t>
    </w:r>
  </w:p>
  <w:p>
    <w:pPr>
      <w:spacing w:before="60"/>
      <w:jc w:val="center"/>
    </w:pPr>
    <w:r>
      <w:rPr>
        <w:color w:val="94A3B8"/>
        <w:sz w:val="14"/>
        <w:szCs w:val="14"/>
      </w:rPr>
      <w:t xml:space="preserve">Page </w:t>
    </w:r>
    <w:r>
      <w:rPr>
        <w:b/>
        <w:bCs/>
        <w:color w:val="6366F1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color w:val="94A3B8"/>
        <w:sz w:val="14"/>
        <w:szCs w:val="14"/>
      </w:rPr>
      <w:t xml:space="preserve"> / </w:t>
    </w:r>
    <w:r>
      <w:rPr>
        <w:b/>
        <w:bCs/>
        <w:color w:val="6366F1"/>
        <w:sz w:val="14"/>
        <w:szCs w:val="14"/>
      </w:rPr>
      <w:fldChar w:fldCharType="begin"/>
      <w:instrText xml:space="preserve">NUMPAGES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Audit-cadrage AC-STEL-2026-001 — TEST_TPE Duval Artisanat</dc:title>
  <dc:creator>Stelysia</dc:creator>
  <dc:description>Audit-cadrage interne Stelysia pour TEST_TPE Duval Artisanat</dc:description>
  <cp:lastModifiedBy>Un-named</cp:lastModifiedBy>
  <cp:revision>1</cp:revision>
  <dcterms:created xsi:type="dcterms:W3CDTF">2026-06-05T21:27:42.176Z</dcterms:created>
  <dcterms:modified xsi:type="dcterms:W3CDTF">2026-06-05T21:27:42.176Z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