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DOSSIER DE CADRAGE</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DOSSIER DE CADRAGE INTERNE</w:t>
      </w:r>
    </w:p>
    <w:p>
      <w:pPr>
        <w:spacing w:after="600"/>
        <w:jc w:val="center"/>
      </w:pPr>
      <w:r>
        <w:rPr>
          <w:i/>
          <w:iCs/>
          <w:color w:val="666666"/>
          <w:sz w:val="28"/>
          <w:szCs w:val="28"/>
        </w:rPr>
        <w:t xml:space="preserve">État de connaissance — préparation mission DSI temps partagé</w:t>
      </w:r>
    </w:p>
    <w:p>
      <w:pPr>
        <w:spacing w:after="80"/>
        <w:jc w:val="center"/>
      </w:pPr>
      <w:r>
        <w:rPr>
          <w:b/>
          <w:bCs/>
          <w:sz w:val="36"/>
          <w:szCs w:val="36"/>
        </w:rPr>
        <w:t xml:space="preserve">TEST_TPE Duval Artisanat</w:t>
      </w:r>
    </w:p>
    <w:p>
      <w:pPr>
        <w:jc w:val="center"/>
      </w:pPr>
      <w:r>
        <w:rPr>
          <w:i/>
          <w:iCs/>
          <w:color w:val="666666"/>
          <w:sz w:val="22"/>
          <w:szCs w:val="22"/>
        </w:rPr>
        <w:t xml:space="preserve">Artisanat / BTP · 10-30</w:t>
      </w:r>
    </w:p>
    <w:p>
      <w:pPr>
        <w:spacing w:after="80" w:before="400"/>
        <w:jc w:val="center"/>
      </w:pPr>
      <w:r>
        <w:rPr>
          <w:color w:val="666666"/>
        </w:rPr>
        <w:t xml:space="preserve">Référence : </w:t>
      </w:r>
      <w:r>
        <w:rPr>
          <w:rFonts w:ascii="Consolas" w:cs="Consolas" w:eastAsia="Consolas" w:hAnsi="Consolas"/>
          <w:b/>
          <w:bCs/>
        </w:rPr>
        <w:t xml:space="preserve">AC-CABI-2026-001</w:t>
      </w:r>
      <w:r>
        <w:rPr>
          <w:color w:val="666666"/>
        </w:rPr>
        <w:t xml:space="preserve">    ·    </w:t>
      </w:r>
      <w:r>
        <w:rPr>
          <w:color w:val="666666"/>
        </w:rPr>
        <w:t xml:space="preserve">Date : </w:t>
      </w:r>
      <w:r>
        <w:t xml:space="preserve">22 octobre 2026</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Style w:val="Heading1"/>
        <w:spacing w:after="160" w:before="320"/>
      </w:pPr>
      <w:r>
        <w:rPr>
          <w:b/>
          <w:bCs/>
          <w:color w:val="6366F1"/>
          <w:sz w:val="36"/>
          <w:szCs w:val="36"/>
        </w:rPr>
        <w:t xml:space="preserve">2. Synthèse exécutive</w:t>
      </w:r>
    </w:p>
    <w:p>
      <w:pPr>
        <w:spacing w:after="120"/>
      </w:pPr>
      <w:r>
        <w:t xml:space="preserve">Duval Artisanat (10-19 salariés, artisanat/BTP) présente un niveau de maturité numérique </w:t>
      </w:r>
      <w:r>
        <w:rPr>
          <w:b/>
          <w:bCs/>
        </w:rPr>
        <w:t xml:space="preserve">critique</w:t>
      </w:r>
      <w:r>
        <w:t xml:space="preserve"> sur l'ensemble des axes audités. Les deux diagnostics réalisés — IT N1 et Google Workspace — convergent vers un constat sans ambiguïté : l'entreprise opère sans filet de sécurité, sans gouvernance et sans plan de reprise, dans un environnement où la moindre défaillance technique ou humaine peut bloquer l'activité chantier et dégrader durablement la relation client.</w:t>
      </w:r>
    </w:p>
    <w:p>
      <w:pPr>
        <w:spacing w:after="120"/>
      </w:pPr>
      <w:r>
        <w:t xml:space="preserve">Sur le plan de la </w:t>
      </w:r>
      <w:r>
        <w:rPr>
          <w:b/>
          <w:bCs/>
        </w:rPr>
        <w:t xml:space="preserve">cybersécurité et de la continuité d'activité</w:t>
      </w:r>
      <w:r>
        <w:t xml:space="preserve">, les failles sont systémiques : absence de MFA sur la messagerie et les accès sensibles, postes non maintenus à jour, comptes administrateurs non cloisonnés, sauvegardes jamais testées et aucun PRA formalisé. Un incident ransomware — scénario statistiquement probable pour une TPE du BTP — provoquerait un arrêt total de l'activité sans aucun mécanisme de reprise. La plateforme Google Workspace, colonne vertébrale de la collaboration et de la communication client, amplifie ce risque : les super-administrateurs ne sont pas sécurisés par clé physique, le partage Drive externe est libre, et les journaux d'audit ne sont jamais consultés, rendant toute détection d'incident impossible.</w:t>
      </w:r>
    </w:p>
    <w:p>
      <w:pPr>
        <w:spacing w:after="120"/>
      </w:pPr>
      <w:r>
        <w:t xml:space="preserve">La </w:t>
      </w:r>
      <w:r>
        <w:rPr>
          <w:b/>
          <w:bCs/>
        </w:rPr>
        <w:t xml:space="preserve">relation client</w:t>
      </w:r>
      <w:r>
        <w:t xml:space="preserve"> est doublement exposée. D'une part, le transfert automatique de mails vers l'extérieur est autorisé et la protection anti-phishing avancée est inactive, ouvrant la voie à une usurpation d'identité ou à une exfiltration de données contractuelles et devis. D'autre part, l'absence de procédures dégradées signifie qu'une simple panne Internet suffit à bloquer la facturation et la communication avec les clients en cours de chantier — un signal négatif fort sur la fiabilité perçue de l'entreprise.</w:t>
      </w:r>
    </w:p>
    <w:p>
      <w:pPr>
        <w:spacing w:after="120"/>
      </w:pPr>
      <w:r>
        <w:t xml:space="preserve">Enfin, la </w:t>
      </w:r>
      <w:r>
        <w:rPr>
          <w:b/>
          <w:bCs/>
        </w:rPr>
        <w:t xml:space="preserve">conformité réglementaire</w:t>
      </w:r>
      <w:r>
        <w:t xml:space="preserve"> ajoute une pression calendaire concrète : la facturation électronique obligatoire 2026 n'est que partiellement engagée, et le RGPD n'est pas outillé (DLP embryonnaire, DMARC non en mode rejet, pas de processus de départ salarié formalisé). Ces manquements exposent l'entreprise à des sanctions et à une perte de confiance client à court terme.</w:t>
      </w:r>
    </w:p>
    <w:p>
      <w:pPr>
        <w:spacing w:after="120"/>
      </w:pPr>
      <w:r>
        <w:t xml:space="preserve">La bonne nouvelle est que la majorité des actions prioritaires sont réalisables </w:t>
      </w:r>
      <w:r>
        <w:rPr>
          <w:b/>
          <w:bCs/>
        </w:rPr>
        <w:t xml:space="preserve">sans surcoût sur les licences existantes</w:t>
      </w:r>
      <w:r>
        <w:t xml:space="preserve"> et en moins de 90 jours, à condition de dégager un pilote interne ou d'engager un prestataire de confiance avec des contrats couvrant la sécurité et la réversibilité.</w:t>
      </w:r>
    </w:p>
    <w:p>
      <w:pPr>
        <w:pStyle w:val="Heading1"/>
        <w:pageBreakBefore/>
        <w:spacing w:after="160" w:before="320"/>
      </w:pPr>
      <w:r>
        <w:rPr>
          <w:b/>
          <w:bCs/>
          <w:color w:val="6366F1"/>
          <w:sz w:val="36"/>
          <w:szCs w:val="36"/>
        </w:rPr>
        <w:t xml:space="preserve">3. Profil client &amp; enjeux</w:t>
      </w:r>
    </w:p>
    <w:tbl>
      <w:tblPr>
        <w:tblW w:type="pct" w:w="100%"/>
        <w:tblBorders>
          <w:top w:val="single" w:color="E2E8F0" w:sz="4"/>
          <w:left w:val="single" w:color="E2E8F0" w:sz="4"/>
          <w:bottom w:val="single" w:color="E2E8F0" w:sz="4"/>
          <w:right w:val="single" w:color="E2E8F0" w:sz="4"/>
          <w:insideH w:val="single" w:color="E2E8F0" w:sz="2"/>
          <w:insideV w:val="single" w:color="E2E8F0" w:sz="2"/>
        </w:tblBorders>
      </w:tblPr>
      <w:tblGrid>
        <w:gridCol w:w="100"/>
        <w:gridCol w:w="100"/>
      </w:tblGrid>
      <w:tr>
        <w:tc>
          <w:tcPr>
            <w:tcW w:type="pct" w:w="32%"/>
            <w:shd w:fill="F8FAFC"/>
          </w:tcPr>
          <w:p>
            <w:r>
              <w:rPr>
                <w:b/>
                <w:bCs/>
                <w:color w:val="6366F1"/>
              </w:rPr>
              <w:t xml:space="preserve">Nom</w:t>
            </w:r>
          </w:p>
        </w:tc>
        <w:tc>
          <w:tcPr>
            <w:tcW w:type="pct" w:w="68%"/>
          </w:tcPr>
          <w:p>
            <w:r>
              <w:t xml:space="preserve">TEST_TPE Duval Artisanat</w:t>
            </w:r>
          </w:p>
        </w:tc>
      </w:tr>
      <w:tr>
        <w:tc>
          <w:tcPr>
            <w:tcW w:type="pct" w:w="32%"/>
            <w:shd w:fill="F8FAFC"/>
          </w:tcPr>
          <w:p>
            <w:r>
              <w:rPr>
                <w:b/>
                <w:bCs/>
                <w:color w:val="6366F1"/>
              </w:rPr>
              <w:t xml:space="preserve">Secteur</w:t>
            </w:r>
          </w:p>
        </w:tc>
        <w:tc>
          <w:tcPr>
            <w:tcW w:type="pct" w:w="68%"/>
          </w:tcPr>
          <w:p>
            <w:r>
              <w:t xml:space="preserve">Artisanat / BTP</w:t>
            </w:r>
          </w:p>
        </w:tc>
      </w:tr>
      <w:tr>
        <w:tc>
          <w:tcPr>
            <w:tcW w:type="pct" w:w="32%"/>
            <w:shd w:fill="F8FAFC"/>
          </w:tcPr>
          <w:p>
            <w:r>
              <w:rPr>
                <w:b/>
                <w:bCs/>
                <w:color w:val="6366F1"/>
              </w:rPr>
              <w:t xml:space="preserve">Effectif</w:t>
            </w:r>
          </w:p>
        </w:tc>
        <w:tc>
          <w:tcPr>
            <w:tcW w:type="pct" w:w="68%"/>
          </w:tcPr>
          <w:p>
            <w:r>
              <w:t xml:space="preserve">10-30</w:t>
            </w:r>
          </w:p>
        </w:tc>
      </w:tr>
      <w:tr>
        <w:tc>
          <w:tcPr>
            <w:tcW w:type="pct" w:w="32%"/>
            <w:shd w:fill="F8FAFC"/>
          </w:tcPr>
          <w:p>
            <w:r>
              <w:rPr>
                <w:b/>
                <w:bCs/>
                <w:color w:val="6366F1"/>
              </w:rPr>
              <w:t xml:space="preserve">Dirigeant principal</w:t>
            </w:r>
          </w:p>
        </w:tc>
        <w:tc>
          <w:tcPr>
            <w:tcW w:type="pct" w:w="68%"/>
          </w:tcPr>
          <w:p>
            <w:r>
              <w:t xml:space="preserve">Contact test (fictif)</w:t>
            </w:r>
          </w:p>
        </w:tc>
      </w:tr>
    </w:tbl>
    <w:p>
      <w:pPr>
        <w:pStyle w:val="Heading3"/>
        <w:spacing w:after="80" w:before="200"/>
      </w:pPr>
      <w:r>
        <w:rPr>
          <w:b/>
          <w:bCs/>
          <w:sz w:val="22"/>
          <w:szCs w:val="22"/>
        </w:rPr>
        <w:t xml:space="preserve">Enjeux business</w:t>
      </w:r>
    </w:p>
    <w:p>
      <w:pPr>
        <w:pStyle w:val="ListParagraph"/>
        <w:numPr>
          <w:ilvl w:val="0"/>
          <w:numId w:val="1"/>
        </w:numPr>
        <w:spacing w:after="60"/>
      </w:pPr>
      <w:r>
        <w:t xml:space="preserve">continuite-activite</w:t>
      </w:r>
    </w:p>
    <w:p>
      <w:pPr>
        <w:pStyle w:val="ListParagraph"/>
        <w:numPr>
          <w:ilvl w:val="0"/>
          <w:numId w:val="1"/>
        </w:numPr>
        <w:spacing w:after="60"/>
      </w:pPr>
      <w:r>
        <w:t xml:space="preserve">relation-client</w:t>
      </w:r>
    </w:p>
    <w:p>
      <w:pPr>
        <w:pStyle w:val="Heading3"/>
        <w:spacing w:after="80" w:before="200"/>
      </w:pPr>
      <w:r>
        <w:rPr>
          <w:b/>
          <w:bCs/>
          <w:sz w:val="22"/>
          <w:szCs w:val="22"/>
        </w:rPr>
        <w:t xml:space="preserve">Sujets IT identifiés</w:t>
      </w:r>
    </w:p>
    <w:p>
      <w:pPr>
        <w:pStyle w:val="ListParagraph"/>
        <w:numPr>
          <w:ilvl w:val="0"/>
          <w:numId w:val="1"/>
        </w:numPr>
        <w:spacing w:after="60"/>
      </w:pPr>
      <w:r>
        <w:t xml:space="preserve">sauvegarde</w:t>
      </w:r>
    </w:p>
    <w:p>
      <w:pPr>
        <w:pStyle w:val="ListParagraph"/>
        <w:numPr>
          <w:ilvl w:val="0"/>
          <w:numId w:val="1"/>
        </w:numPr>
        <w:spacing w:after="60"/>
      </w:pPr>
      <w:r>
        <w:t xml:space="preserve">securite-basique</w:t>
      </w:r>
    </w:p>
    <w:p>
      <w:pPr>
        <w:pStyle w:val="Heading3"/>
        <w:spacing w:after="80" w:before="200"/>
      </w:pPr>
      <w:r>
        <w:rPr>
          <w:b/>
          <w:bCs/>
          <w:sz w:val="22"/>
          <w:szCs w:val="22"/>
        </w:rPr>
        <w:t xml:space="preserve">Cadre réglementaire applicable</w:t>
      </w:r>
    </w:p>
    <w:p>
      <w:pPr>
        <w:pStyle w:val="ListParagraph"/>
        <w:numPr>
          <w:ilvl w:val="0"/>
          <w:numId w:val="1"/>
        </w:numPr>
        <w:spacing w:after="60"/>
      </w:pPr>
      <w:r>
        <w:t xml:space="preserve">rgpd-standard</w:t>
      </w:r>
    </w:p>
    <w:p>
      <w:pPr>
        <w:pStyle w:val="Heading1"/>
        <w:pageBreakBefore/>
        <w:spacing w:after="160" w:before="320"/>
      </w:pPr>
      <w:r>
        <w:rPr>
          <w:b/>
          <w:bCs/>
          <w:color w:val="6366F1"/>
          <w:sz w:val="36"/>
          <w:szCs w:val="36"/>
        </w:rPr>
        <w:t xml:space="preserve">4. Couverture des diagnostics &amp; KPI</w:t>
      </w:r>
    </w:p>
    <w:p>
      <w:pPr>
        <w:spacing w:after="120"/>
      </w:pPr>
      <w:r>
        <w:rPr>
          <w:i/>
          <w:iCs/>
          <w:color w:val="475569"/>
        </w:rPr>
        <w:t xml:space="preserve">Vue synthétique de la couverture des diagnostics. Un diagnostic est considéré comme « couvert » à partir de 5 réponses saisies.</w:t>
      </w:r>
    </w:p>
    <w:tbl>
      <w:tblPr>
        <w:tblW w:type="pct" w:w="100%"/>
        <w:tblBorders>
          <w:top w:val="single" w:color="CCCCCC" w:sz="4"/>
          <w:left w:val="single" w:color="CCCCCC" w:sz="4"/>
          <w:bottom w:val="single" w:color="CCCCCC" w:sz="4"/>
          <w:right w:val="single" w:color="CCCCCC" w:sz="4"/>
          <w:insideH w:val="single" w:color="E5E7EB" w:sz="2"/>
          <w:insideV w:val="single" w:color="E5E7EB" w:sz="2"/>
        </w:tblBorders>
      </w:tblPr>
      <w:tblGrid>
        <w:gridCol w:w="100"/>
        <w:gridCol w:w="100"/>
        <w:gridCol w:w="100"/>
        <w:gridCol w:w="100"/>
        <w:gridCol w:w="100"/>
        <w:gridCol w:w="100"/>
        <w:gridCol w:w="100"/>
      </w:tblGrid>
      <w:tr>
        <w:trPr>
          <w:tblHeader/>
        </w:trPr>
        <w:tc>
          <w:tcPr>
            <w:shd w:fill="EEF2FF"/>
          </w:tcPr>
          <w:p>
            <w:r>
              <w:rPr>
                <w:b/>
                <w:bCs/>
                <w:color w:val="6366F1"/>
              </w:rPr>
              <w:t xml:space="preserve">Diagnostic</w:t>
            </w:r>
          </w:p>
        </w:tc>
        <w:tc>
          <w:tcPr>
            <w:shd w:fill="EEF2FF"/>
          </w:tcPr>
          <w:p>
            <w:r>
              <w:rPr>
                <w:b/>
                <w:bCs/>
                <w:color w:val="6366F1"/>
              </w:rPr>
              <w:t xml:space="preserve">Statut</w:t>
            </w:r>
          </w:p>
        </w:tc>
        <w:tc>
          <w:tcPr>
            <w:shd w:fill="EEF2FF"/>
          </w:tcPr>
          <w:p>
            <w:r>
              <w:rPr>
                <w:b/>
                <w:bCs/>
                <w:color w:val="6366F1"/>
              </w:rPr>
              <w:t xml:space="preserve">Réponses</w:t>
            </w:r>
          </w:p>
        </w:tc>
        <w:tc>
          <w:tcPr>
            <w:shd w:fill="EEF2FF"/>
          </w:tcPr>
          <w:p>
            <w:r>
              <w:rPr>
                <w:b/>
                <w:bCs/>
                <w:color w:val="6366F1"/>
              </w:rPr>
              <w:t xml:space="preserve">Score moyen</w:t>
            </w:r>
          </w:p>
        </w:tc>
        <w:tc>
          <w:tcPr>
            <w:shd w:fill="EEF2FF"/>
          </w:tcPr>
          <w:p>
            <w:r>
              <w:rPr>
                <w:b/>
                <w:bCs/>
                <w:color w:val="6366F1"/>
              </w:rPr>
              <w:t xml:space="preserve">Partiel / Non</w:t>
            </w:r>
          </w:p>
        </w:tc>
        <w:tc>
          <w:tcPr>
            <w:shd w:fill="EEF2FF"/>
          </w:tcPr>
          <w:p>
            <w:r>
              <w:rPr>
                <w:b/>
                <w:bCs/>
                <w:color w:val="6366F1"/>
              </w:rPr>
              <w:t xml:space="preserve">NSP</w:t>
            </w:r>
          </w:p>
        </w:tc>
        <w:tc>
          <w:tcPr>
            <w:shd w:fill="EEF2FF"/>
          </w:tcPr>
          <w:p>
            <w:r>
              <w:rPr>
                <w:b/>
                <w:bCs/>
                <w:color w:val="6366F1"/>
              </w:rPr>
              <w:t xml:space="preserve">Commentaires</w:t>
            </w:r>
          </w:p>
        </w:tc>
      </w:tr>
      <w:tr>
        <w:tc>
          <w:p>
            <w:r>
              <w:rPr>
                <w:b/>
                <w:bCs/>
              </w:rPr>
              <w:t xml:space="preserve">Diag IT N1</w:t>
            </w:r>
          </w:p>
        </w:tc>
        <w:tc>
          <w:p>
            <w:r>
              <w:rPr>
                <w:b/>
                <w:bCs/>
                <w:color w:val="6366F1"/>
              </w:rPr>
              <w:t xml:space="preserve">Couvert</w:t>
            </w:r>
          </w:p>
        </w:tc>
        <w:tc>
          <w:p>
            <w:r>
              <w:t xml:space="preserve">26</w:t>
            </w:r>
          </w:p>
        </w:tc>
        <w:tc>
          <w:p>
            <w:r>
              <w:t xml:space="preserve">29/100</w:t>
            </w:r>
          </w:p>
        </w:tc>
        <w:tc>
          <w:p>
            <w:r>
              <w:t xml:space="preserve">5 / 16</w:t>
            </w:r>
          </w:p>
        </w:tc>
        <w:tc>
          <w:p>
            <w:r>
              <w:rPr>
                <w:b w:val="false"/>
                <w:bCs w:val="false"/>
              </w:rPr>
              <w:t xml:space="preserve">0</w:t>
            </w:r>
          </w:p>
        </w:tc>
        <w:tc>
          <w:p>
            <w:r>
              <w:t xml:space="preserve">0</w:t>
            </w:r>
          </w:p>
        </w:tc>
      </w:tr>
      <w:tr>
        <w:tc>
          <w:p>
            <w:r>
              <w:rPr>
                <w:b/>
                <w:bCs/>
              </w:rPr>
              <w:t xml:space="preserve">Diag IT N2</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Modern Workplace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Zero Trust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IA &amp; Automatisations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Entretien dirigeant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France Num</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PCA/PRA</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Adoption ADKAR</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Zachman SI</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RGPD</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Gestion risques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Gouvernance IT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Parc IT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Exploitation et support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Applications et données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Réseau et infrastructure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Architecture et dette technique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Conduite de projet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Reprise de projet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Reprise de projet, 6 phrases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Sensibilisation</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Google Workspace</w:t>
            </w:r>
          </w:p>
        </w:tc>
        <w:tc>
          <w:p>
            <w:r>
              <w:rPr>
                <w:b/>
                <w:bCs/>
                <w:color w:val="6366F1"/>
              </w:rPr>
              <w:t xml:space="preserve">Couvert</w:t>
            </w:r>
          </w:p>
        </w:tc>
        <w:tc>
          <w:p>
            <w:r>
              <w:t xml:space="preserve">15</w:t>
            </w:r>
          </w:p>
        </w:tc>
        <w:tc>
          <w:p>
            <w:r>
              <w:t xml:space="preserve">17/100</w:t>
            </w:r>
          </w:p>
        </w:tc>
        <w:tc>
          <w:p>
            <w:r>
              <w:t xml:space="preserve">5 / 10</w:t>
            </w:r>
          </w:p>
        </w:tc>
        <w:tc>
          <w:p>
            <w:r>
              <w:rPr>
                <w:b w:val="false"/>
                <w:bCs w:val="false"/>
              </w:rPr>
              <w:t xml:space="preserve">0</w:t>
            </w:r>
          </w:p>
        </w:tc>
        <w:tc>
          <w:p>
            <w:r>
              <w:t xml:space="preserve">0</w:t>
            </w:r>
          </w:p>
        </w:tc>
      </w:tr>
      <w:tr>
        <w:tc>
          <w:p>
            <w:r>
              <w:rPr>
                <w:b/>
                <w:bCs/>
              </w:rPr>
              <w:t xml:space="preserve">FinOps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bl>
    <w:p>
      <w:pPr>
        <w:pStyle w:val="Heading3"/>
        <w:spacing w:after="80" w:before="200"/>
      </w:pPr>
      <w:r>
        <w:rPr>
          <w:b/>
          <w:bCs/>
          <w:sz w:val="22"/>
          <w:szCs w:val="22"/>
        </w:rPr>
        <w:t xml:space="preserve">Diag IT N1 — détail par catégorie</w:t>
      </w:r>
    </w:p>
    <w:p>
      <w:pPr>
        <w:pStyle w:val="ListParagraph"/>
        <w:numPr>
          <w:ilvl w:val="0"/>
          <w:numId w:val="1"/>
        </w:numPr>
        <w:spacing w:after="60"/>
      </w:pPr>
      <w:r>
        <w:t xml:space="preserve">Identité &amp; accès : 50/100 (3/3 réponses · 1P / 1N)</w:t>
      </w:r>
    </w:p>
    <w:p>
      <w:pPr>
        <w:pStyle w:val="ListParagraph"/>
        <w:numPr>
          <w:ilvl w:val="0"/>
          <w:numId w:val="1"/>
        </w:numPr>
        <w:spacing w:after="60"/>
      </w:pPr>
      <w:r>
        <w:t xml:space="preserve">Gouvernance SI : 25/100 (2/2 réponses · 1P / 1N)</w:t>
      </w:r>
    </w:p>
    <w:p>
      <w:pPr>
        <w:pStyle w:val="ListParagraph"/>
        <w:numPr>
          <w:ilvl w:val="0"/>
          <w:numId w:val="1"/>
        </w:numPr>
        <w:spacing w:after="60"/>
      </w:pPr>
      <w:r>
        <w:t xml:space="preserve">Cybersécurité : 25/100 (4/4 réponses · 0P / 3N)</w:t>
      </w:r>
    </w:p>
    <w:p>
      <w:pPr>
        <w:pStyle w:val="ListParagraph"/>
        <w:numPr>
          <w:ilvl w:val="0"/>
          <w:numId w:val="1"/>
        </w:numPr>
        <w:spacing w:after="60"/>
      </w:pPr>
      <w:r>
        <w:t xml:space="preserve">Continuité &amp; incidents : 30/100 (5/5 réponses · 1P / 3N)</w:t>
      </w:r>
    </w:p>
    <w:p>
      <w:pPr>
        <w:pStyle w:val="ListParagraph"/>
        <w:numPr>
          <w:ilvl w:val="0"/>
          <w:numId w:val="1"/>
        </w:numPr>
        <w:spacing w:after="60"/>
      </w:pPr>
      <w:r>
        <w:t xml:space="preserve">Données personnelles &amp; RGPD : 17/100 (3/3 réponses · 1P / 2N)</w:t>
      </w:r>
    </w:p>
    <w:p>
      <w:pPr>
        <w:pStyle w:val="ListParagraph"/>
        <w:numPr>
          <w:ilvl w:val="0"/>
          <w:numId w:val="1"/>
        </w:numPr>
        <w:spacing w:after="60"/>
      </w:pPr>
      <w:r>
        <w:t xml:space="preserve">Prestataires &amp; cloud : 33/100 (3/4 réponses · 0P / 2N)</w:t>
      </w:r>
    </w:p>
    <w:p>
      <w:pPr>
        <w:pStyle w:val="ListParagraph"/>
        <w:numPr>
          <w:ilvl w:val="0"/>
          <w:numId w:val="1"/>
        </w:numPr>
        <w:spacing w:after="60"/>
      </w:pPr>
      <w:r>
        <w:t xml:space="preserve">Sensibilisation : 0/100 (1/1 réponses · 0P / 1N)</w:t>
      </w:r>
    </w:p>
    <w:p>
      <w:pPr>
        <w:pStyle w:val="ListParagraph"/>
        <w:numPr>
          <w:ilvl w:val="0"/>
          <w:numId w:val="1"/>
        </w:numPr>
        <w:spacing w:after="60"/>
      </w:pPr>
      <w:r>
        <w:t xml:space="preserve">Conformité 2026+ : 30/100 (5/5 réponses · 1P / 3N)</w:t>
      </w:r>
    </w:p>
    <w:p>
      <w:pPr>
        <w:pStyle w:val="Heading3"/>
        <w:spacing w:after="80" w:before="200"/>
      </w:pPr>
      <w:r>
        <w:rPr>
          <w:b/>
          <w:bCs/>
          <w:sz w:val="22"/>
          <w:szCs w:val="22"/>
        </w:rPr>
        <w:t xml:space="preserve">Diag IT N2 — détail par catégorie</w:t>
      </w:r>
    </w:p>
    <w:p>
      <w:pPr>
        <w:pStyle w:val="ListParagraph"/>
        <w:numPr>
          <w:ilvl w:val="0"/>
          <w:numId w:val="1"/>
        </w:numPr>
        <w:spacing w:after="60"/>
      </w:pPr>
      <w:r>
        <w:t xml:space="preserve">Identité &amp; accès : — (0/7 réponses · 0P / 0N)</w:t>
      </w:r>
    </w:p>
    <w:p>
      <w:pPr>
        <w:pStyle w:val="ListParagraph"/>
        <w:numPr>
          <w:ilvl w:val="0"/>
          <w:numId w:val="1"/>
        </w:numPr>
        <w:spacing w:after="60"/>
      </w:pPr>
      <w:r>
        <w:t xml:space="preserve">Gouvernance &amp; organisation : — (0/7 réponses · 0P / 0N)</w:t>
      </w:r>
    </w:p>
    <w:p>
      <w:pPr>
        <w:pStyle w:val="ListParagraph"/>
        <w:numPr>
          <w:ilvl w:val="0"/>
          <w:numId w:val="1"/>
        </w:numPr>
        <w:spacing w:after="60"/>
      </w:pPr>
      <w:r>
        <w:t xml:space="preserve">Sécurité réseau : — (0/6 réponses · 0P / 0N)</w:t>
      </w:r>
    </w:p>
    <w:p>
      <w:pPr>
        <w:pStyle w:val="ListParagraph"/>
        <w:numPr>
          <w:ilvl w:val="0"/>
          <w:numId w:val="1"/>
        </w:numPr>
        <w:spacing w:after="60"/>
      </w:pPr>
      <w:r>
        <w:t xml:space="preserve">Postes &amp; mobilité : — (0/6 réponses · 0P / 0N)</w:t>
      </w:r>
    </w:p>
    <w:p>
      <w:pPr>
        <w:pStyle w:val="ListParagraph"/>
        <w:numPr>
          <w:ilvl w:val="0"/>
          <w:numId w:val="1"/>
        </w:numPr>
        <w:spacing w:after="60"/>
      </w:pPr>
      <w:r>
        <w:t xml:space="preserve">Supervision &amp; détection : — (0/5 réponses · 0P / 0N)</w:t>
      </w:r>
    </w:p>
    <w:p>
      <w:pPr>
        <w:pStyle w:val="ListParagraph"/>
        <w:numPr>
          <w:ilvl w:val="0"/>
          <w:numId w:val="1"/>
        </w:numPr>
        <w:spacing w:after="60"/>
      </w:pPr>
      <w:r>
        <w:t xml:space="preserve">Sauvegardes &amp; continuité : — (0/6 réponses · 0P / 0N)</w:t>
      </w:r>
    </w:p>
    <w:p>
      <w:pPr>
        <w:pStyle w:val="ListParagraph"/>
        <w:numPr>
          <w:ilvl w:val="0"/>
          <w:numId w:val="1"/>
        </w:numPr>
        <w:spacing w:after="60"/>
      </w:pPr>
      <w:r>
        <w:t xml:space="preserve">Infrastructure &amp; architecture : — (0/7 réponses · 0P / 0N)</w:t>
      </w:r>
    </w:p>
    <w:p>
      <w:pPr>
        <w:pStyle w:val="ListParagraph"/>
        <w:numPr>
          <w:ilvl w:val="0"/>
          <w:numId w:val="1"/>
        </w:numPr>
        <w:spacing w:after="60"/>
      </w:pPr>
      <w:r>
        <w:t xml:space="preserve">Messagerie &amp; collaboration : — (0/5 réponses · 0P / 0N)</w:t>
      </w:r>
    </w:p>
    <w:p>
      <w:pPr>
        <w:pStyle w:val="ListParagraph"/>
        <w:numPr>
          <w:ilvl w:val="0"/>
          <w:numId w:val="1"/>
        </w:numPr>
        <w:spacing w:after="60"/>
      </w:pPr>
      <w:r>
        <w:t xml:space="preserve">Cloud &amp; SaaS : — (0/6 réponses · 0P / 0N)</w:t>
      </w:r>
    </w:p>
    <w:p>
      <w:pPr>
        <w:pStyle w:val="ListParagraph"/>
        <w:numPr>
          <w:ilvl w:val="0"/>
          <w:numId w:val="1"/>
        </w:numPr>
        <w:spacing w:after="60"/>
      </w:pPr>
      <w:r>
        <w:t xml:space="preserve">Données &amp; RGPD : — (0/7 réponses · 0P / 0N)</w:t>
      </w:r>
    </w:p>
    <w:p>
      <w:pPr>
        <w:pStyle w:val="ListParagraph"/>
        <w:numPr>
          <w:ilvl w:val="0"/>
          <w:numId w:val="1"/>
        </w:numPr>
        <w:spacing w:after="60"/>
      </w:pPr>
      <w:r>
        <w:t xml:space="preserve">Prestataires &amp; contrats : — (0/6 réponses · 0P / 0N)</w:t>
      </w:r>
    </w:p>
    <w:p>
      <w:pPr>
        <w:pStyle w:val="ListParagraph"/>
        <w:numPr>
          <w:ilvl w:val="0"/>
          <w:numId w:val="1"/>
        </w:numPr>
        <w:spacing w:after="60"/>
      </w:pPr>
      <w:r>
        <w:t xml:space="preserve">Sensibilisation &amp; culture : — (0/6 réponses · 0P / 0N)</w:t>
      </w:r>
    </w:p>
    <w:p>
      <w:pPr>
        <w:pStyle w:val="ListParagraph"/>
        <w:numPr>
          <w:ilvl w:val="0"/>
          <w:numId w:val="1"/>
        </w:numPr>
        <w:spacing w:after="60"/>
      </w:pPr>
      <w:r>
        <w:t xml:space="preserve">IA &amp; innovation : — (0/6 réponses · 0P / 0N)</w:t>
      </w:r>
    </w:p>
    <w:p>
      <w:pPr>
        <w:pStyle w:val="ListParagraph"/>
        <w:numPr>
          <w:ilvl w:val="0"/>
          <w:numId w:val="1"/>
        </w:numPr>
        <w:spacing w:after="60"/>
      </w:pPr>
      <w:r>
        <w:t xml:space="preserve">Conduite de projet : — (0/6 réponses · 0P / 0N)</w:t>
      </w:r>
    </w:p>
    <w:p>
      <w:pPr>
        <w:pStyle w:val="Heading3"/>
        <w:spacing w:after="80" w:before="200"/>
      </w:pPr>
      <w:r>
        <w:rPr>
          <w:b/>
          <w:bCs/>
          <w:sz w:val="22"/>
          <w:szCs w:val="22"/>
        </w:rPr>
        <w:t xml:space="preserve">Modern Workplace — détail par catégorie</w:t>
      </w:r>
    </w:p>
    <w:p>
      <w:pPr>
        <w:pStyle w:val="ListParagraph"/>
        <w:numPr>
          <w:ilvl w:val="0"/>
          <w:numId w:val="1"/>
        </w:numPr>
        <w:spacing w:after="60"/>
      </w:pPr>
      <w:r>
        <w:t xml:space="preserve">Identité &amp; accès : — (0/5 réponses · 0P / 0N)</w:t>
      </w:r>
    </w:p>
    <w:p>
      <w:pPr>
        <w:pStyle w:val="ListParagraph"/>
        <w:numPr>
          <w:ilvl w:val="0"/>
          <w:numId w:val="1"/>
        </w:numPr>
        <w:spacing w:after="60"/>
      </w:pPr>
      <w:r>
        <w:t xml:space="preserve">Productivité &amp; collaboration : — (0/5 réponses · 0P / 0N)</w:t>
      </w:r>
    </w:p>
    <w:p>
      <w:pPr>
        <w:pStyle w:val="ListParagraph"/>
        <w:numPr>
          <w:ilvl w:val="0"/>
          <w:numId w:val="1"/>
        </w:numPr>
        <w:spacing w:after="60"/>
      </w:pPr>
      <w:r>
        <w:t xml:space="preserve">Endpoint &amp; sécurité poste : — (0/6 réponses · 0P / 0N)</w:t>
      </w:r>
    </w:p>
    <w:p>
      <w:pPr>
        <w:pStyle w:val="ListParagraph"/>
        <w:numPr>
          <w:ilvl w:val="0"/>
          <w:numId w:val="1"/>
        </w:numPr>
        <w:spacing w:after="60"/>
      </w:pPr>
      <w:r>
        <w:t xml:space="preserve">Communication &amp; visio : — (0/5 réponses · 0P / 0N)</w:t>
      </w:r>
    </w:p>
    <w:p>
      <w:pPr>
        <w:pStyle w:val="ListParagraph"/>
        <w:numPr>
          <w:ilvl w:val="0"/>
          <w:numId w:val="1"/>
        </w:numPr>
        <w:spacing w:after="60"/>
      </w:pPr>
      <w:r>
        <w:t xml:space="preserve">Stockage &amp; sauvegarde : — (0/6 réponses · 0P / 0N)</w:t>
      </w:r>
    </w:p>
    <w:p>
      <w:pPr>
        <w:pStyle w:val="ListParagraph"/>
        <w:numPr>
          <w:ilvl w:val="0"/>
          <w:numId w:val="1"/>
        </w:numPr>
        <w:spacing w:after="60"/>
      </w:pPr>
      <w:r>
        <w:t xml:space="preserve">Souveraineté &amp; conformité : — (0/8 réponses · 0P / 0N)</w:t>
      </w:r>
    </w:p>
    <w:p>
      <w:pPr>
        <w:pStyle w:val="Heading3"/>
        <w:spacing w:after="80" w:before="200"/>
      </w:pPr>
      <w:r>
        <w:rPr>
          <w:b/>
          <w:bCs/>
          <w:sz w:val="22"/>
          <w:szCs w:val="22"/>
        </w:rPr>
        <w:t xml:space="preserve">Zero Trust — détail par catégorie</w:t>
      </w:r>
    </w:p>
    <w:p>
      <w:pPr>
        <w:pStyle w:val="ListParagraph"/>
        <w:numPr>
          <w:ilvl w:val="0"/>
          <w:numId w:val="1"/>
        </w:numPr>
        <w:spacing w:after="60"/>
      </w:pPr>
      <w:r>
        <w:t xml:space="preserve">Identité : — (0/9 réponses · 0P / 0N)</w:t>
      </w:r>
    </w:p>
    <w:p>
      <w:pPr>
        <w:pStyle w:val="ListParagraph"/>
        <w:numPr>
          <w:ilvl w:val="0"/>
          <w:numId w:val="1"/>
        </w:numPr>
        <w:spacing w:after="60"/>
      </w:pPr>
      <w:r>
        <w:t xml:space="preserve">Appareils : — (0/8 réponses · 0P / 0N)</w:t>
      </w:r>
    </w:p>
    <w:p>
      <w:pPr>
        <w:pStyle w:val="ListParagraph"/>
        <w:numPr>
          <w:ilvl w:val="0"/>
          <w:numId w:val="1"/>
        </w:numPr>
        <w:spacing w:after="60"/>
      </w:pPr>
      <w:r>
        <w:t xml:space="preserve">Réseau : — (0/8 réponses · 0P / 0N)</w:t>
      </w:r>
    </w:p>
    <w:p>
      <w:pPr>
        <w:pStyle w:val="ListParagraph"/>
        <w:numPr>
          <w:ilvl w:val="0"/>
          <w:numId w:val="1"/>
        </w:numPr>
        <w:spacing w:after="60"/>
      </w:pPr>
      <w:r>
        <w:t xml:space="preserve">Applications : — (0/8 réponses · 0P / 0N)</w:t>
      </w:r>
    </w:p>
    <w:p>
      <w:pPr>
        <w:pStyle w:val="ListParagraph"/>
        <w:numPr>
          <w:ilvl w:val="0"/>
          <w:numId w:val="1"/>
        </w:numPr>
        <w:spacing w:after="60"/>
      </w:pPr>
      <w:r>
        <w:t xml:space="preserve">Données : — (0/8 réponses · 0P / 0N)</w:t>
      </w:r>
    </w:p>
    <w:p>
      <w:pPr>
        <w:pStyle w:val="ListParagraph"/>
        <w:numPr>
          <w:ilvl w:val="0"/>
          <w:numId w:val="1"/>
        </w:numPr>
        <w:spacing w:after="60"/>
      </w:pPr>
      <w:r>
        <w:t xml:space="preserve">Visibilité &amp; Automatisation : — (0/9 réponses · 0P / 0N)</w:t>
      </w:r>
    </w:p>
    <w:p>
      <w:pPr>
        <w:pStyle w:val="Heading3"/>
        <w:spacing w:after="80" w:before="200"/>
      </w:pPr>
      <w:r>
        <w:rPr>
          <w:b/>
          <w:bCs/>
          <w:sz w:val="22"/>
          <w:szCs w:val="22"/>
        </w:rPr>
        <w:t xml:space="preserve">IA &amp; Automatisations — détail par catégorie</w:t>
      </w:r>
    </w:p>
    <w:p>
      <w:pPr>
        <w:pStyle w:val="ListParagraph"/>
        <w:numPr>
          <w:ilvl w:val="0"/>
          <w:numId w:val="1"/>
        </w:numPr>
        <w:spacing w:after="60"/>
      </w:pPr>
      <w:r>
        <w:t xml:space="preserve">Stratégie &amp; cas d'usage : — (0/6 réponses · 0P / 0N)</w:t>
      </w:r>
    </w:p>
    <w:p>
      <w:pPr>
        <w:pStyle w:val="ListParagraph"/>
        <w:numPr>
          <w:ilvl w:val="0"/>
          <w:numId w:val="1"/>
        </w:numPr>
        <w:spacing w:after="60"/>
      </w:pPr>
      <w:r>
        <w:t xml:space="preserve">Gouvernance &amp; AI Act : — (0/7 réponses · 0P / 0N)</w:t>
      </w:r>
    </w:p>
    <w:p>
      <w:pPr>
        <w:pStyle w:val="ListParagraph"/>
        <w:numPr>
          <w:ilvl w:val="0"/>
          <w:numId w:val="1"/>
        </w:numPr>
        <w:spacing w:after="60"/>
      </w:pPr>
      <w:r>
        <w:t xml:space="preserve">Données &amp; qualité : — (0/6 réponses · 0P / 0N)</w:t>
      </w:r>
    </w:p>
    <w:p>
      <w:pPr>
        <w:pStyle w:val="ListParagraph"/>
        <w:numPr>
          <w:ilvl w:val="0"/>
          <w:numId w:val="1"/>
        </w:numPr>
        <w:spacing w:after="60"/>
      </w:pPr>
      <w:r>
        <w:t xml:space="preserve">Sécurité IA : — (0/7 réponses · 0P / 0N)</w:t>
      </w:r>
    </w:p>
    <w:p>
      <w:pPr>
        <w:pStyle w:val="ListParagraph"/>
        <w:numPr>
          <w:ilvl w:val="0"/>
          <w:numId w:val="1"/>
        </w:numPr>
        <w:spacing w:after="60"/>
      </w:pPr>
      <w:r>
        <w:t xml:space="preserve">Adoption : — (0/4 réponses · 0P / 0N)</w:t>
      </w:r>
    </w:p>
    <w:p>
      <w:pPr>
        <w:pStyle w:val="ListParagraph"/>
        <w:numPr>
          <w:ilvl w:val="0"/>
          <w:numId w:val="1"/>
        </w:numPr>
        <w:spacing w:after="60"/>
      </w:pPr>
      <w:r>
        <w:t xml:space="preserve">Automatisation processus : — (0/6 réponses · 0P / 0N)</w:t>
      </w:r>
    </w:p>
    <w:p>
      <w:pPr>
        <w:pStyle w:val="ListParagraph"/>
        <w:numPr>
          <w:ilvl w:val="0"/>
          <w:numId w:val="1"/>
        </w:numPr>
        <w:spacing w:after="60"/>
      </w:pPr>
      <w:r>
        <w:t xml:space="preserve">Performance &amp; FinOps IA : — (0/8 réponses · 0P / 0N)</w:t>
      </w:r>
    </w:p>
    <w:p>
      <w:pPr>
        <w:pStyle w:val="ListParagraph"/>
        <w:numPr>
          <w:ilvl w:val="0"/>
          <w:numId w:val="1"/>
        </w:numPr>
        <w:spacing w:after="60"/>
      </w:pPr>
      <w:r>
        <w:t xml:space="preserve">IA locale &amp; souveraineté : — (0/2 réponses · 0P / 0N)</w:t>
      </w:r>
    </w:p>
    <w:p>
      <w:pPr>
        <w:pStyle w:val="ListParagraph"/>
        <w:numPr>
          <w:ilvl w:val="0"/>
          <w:numId w:val="1"/>
        </w:numPr>
        <w:spacing w:after="60"/>
      </w:pPr>
      <w:r>
        <w:t xml:space="preserve">IA agentique &amp; assistants : — (0/4 réponses · 0P / 0N)</w:t>
      </w:r>
    </w:p>
    <w:p>
      <w:pPr>
        <w:pStyle w:val="ListParagraph"/>
        <w:numPr>
          <w:ilvl w:val="0"/>
          <w:numId w:val="1"/>
        </w:numPr>
        <w:spacing w:after="60"/>
      </w:pPr>
      <w:r>
        <w:t xml:space="preserve">Développement assisté par IA : — (0/3 réponses · 0P / 0N)</w:t>
      </w:r>
    </w:p>
    <w:p>
      <w:pPr>
        <w:pStyle w:val="ListParagraph"/>
        <w:numPr>
          <w:ilvl w:val="0"/>
          <w:numId w:val="1"/>
        </w:numPr>
        <w:spacing w:after="60"/>
      </w:pPr>
      <w:r>
        <w:t xml:space="preserve">Vibe coding &amp; citizen development : — (0/3 réponses · 0P / 0N)</w:t>
      </w:r>
    </w:p>
    <w:p>
      <w:pPr>
        <w:pStyle w:val="Heading3"/>
        <w:spacing w:after="80" w:before="200"/>
      </w:pPr>
      <w:r>
        <w:rPr>
          <w:b/>
          <w:bCs/>
          <w:sz w:val="22"/>
          <w:szCs w:val="22"/>
        </w:rPr>
        <w:t xml:space="preserve">Entretien dirigeant — détail par catégorie</w:t>
      </w:r>
    </w:p>
    <w:p>
      <w:pPr>
        <w:pStyle w:val="ListParagraph"/>
        <w:numPr>
          <w:ilvl w:val="0"/>
          <w:numId w:val="1"/>
        </w:numPr>
        <w:spacing w:after="60"/>
      </w:pPr>
      <w:r>
        <w:t xml:space="preserve">Irritants : — (0/1 réponses · 0P / 0N)</w:t>
      </w:r>
    </w:p>
    <w:p>
      <w:pPr>
        <w:pStyle w:val="ListParagraph"/>
        <w:numPr>
          <w:ilvl w:val="0"/>
          <w:numId w:val="1"/>
        </w:numPr>
        <w:spacing w:after="60"/>
      </w:pPr>
      <w:r>
        <w:t xml:space="preserve">Continuité : — (0/1 réponses · 0P / 0N)</w:t>
      </w:r>
    </w:p>
    <w:p>
      <w:pPr>
        <w:pStyle w:val="ListParagraph"/>
        <w:numPr>
          <w:ilvl w:val="0"/>
          <w:numId w:val="1"/>
        </w:numPr>
        <w:spacing w:after="60"/>
      </w:pPr>
      <w:r>
        <w:t xml:space="preserve">Vision : — (0/1 réponses · 0P / 0N)</w:t>
      </w:r>
    </w:p>
    <w:p>
      <w:pPr>
        <w:pStyle w:val="ListParagraph"/>
        <w:numPr>
          <w:ilvl w:val="0"/>
          <w:numId w:val="1"/>
        </w:numPr>
        <w:spacing w:after="60"/>
      </w:pPr>
      <w:r>
        <w:t xml:space="preserve">Pilotage : — (0/1 réponses · 0P / 0N)</w:t>
      </w:r>
    </w:p>
    <w:p>
      <w:pPr>
        <w:pStyle w:val="ListParagraph"/>
        <w:numPr>
          <w:ilvl w:val="0"/>
          <w:numId w:val="1"/>
        </w:numPr>
        <w:spacing w:after="60"/>
      </w:pPr>
      <w:r>
        <w:t xml:space="preserve">Décision : — (0/1 réponses · 0P / 0N)</w:t>
      </w:r>
    </w:p>
    <w:p>
      <w:pPr>
        <w:pStyle w:val="ListParagraph"/>
        <w:numPr>
          <w:ilvl w:val="0"/>
          <w:numId w:val="1"/>
        </w:numPr>
        <w:spacing w:after="60"/>
      </w:pPr>
      <w:r>
        <w:t xml:space="preserve">Posture : — (0/1 réponses · 0P / 0N)</w:t>
      </w:r>
    </w:p>
    <w:p>
      <w:pPr>
        <w:pStyle w:val="ListParagraph"/>
        <w:numPr>
          <w:ilvl w:val="0"/>
          <w:numId w:val="1"/>
        </w:numPr>
        <w:spacing w:after="60"/>
      </w:pPr>
      <w:r>
        <w:t xml:space="preserve">Dépendances : — (0/1 réponses · 0P / 0N)</w:t>
      </w:r>
    </w:p>
    <w:p>
      <w:pPr>
        <w:pStyle w:val="ListParagraph"/>
        <w:numPr>
          <w:ilvl w:val="0"/>
          <w:numId w:val="1"/>
        </w:numPr>
        <w:spacing w:after="60"/>
      </w:pPr>
      <w:r>
        <w:t xml:space="preserve">Incidents : — (0/1 réponses · 0P / 0N)</w:t>
      </w:r>
    </w:p>
    <w:p>
      <w:pPr>
        <w:pStyle w:val="ListParagraph"/>
        <w:numPr>
          <w:ilvl w:val="0"/>
          <w:numId w:val="1"/>
        </w:numPr>
        <w:spacing w:after="60"/>
      </w:pPr>
      <w:r>
        <w:t xml:space="preserve">ROI : — (0/1 réponses · 0P / 0N)</w:t>
      </w:r>
    </w:p>
    <w:p>
      <w:pPr>
        <w:pStyle w:val="ListParagraph"/>
        <w:numPr>
          <w:ilvl w:val="0"/>
          <w:numId w:val="1"/>
        </w:numPr>
        <w:spacing w:after="60"/>
      </w:pPr>
      <w:r>
        <w:t xml:space="preserve">Trajectoire : — (0/1 réponses · 0P / 0N)</w:t>
      </w:r>
    </w:p>
    <w:p>
      <w:pPr>
        <w:pStyle w:val="ListParagraph"/>
        <w:numPr>
          <w:ilvl w:val="0"/>
          <w:numId w:val="1"/>
        </w:numPr>
        <w:spacing w:after="60"/>
      </w:pPr>
      <w:r>
        <w:t xml:space="preserve">Mandat : — (0/1 réponses · 0P / 0N)</w:t>
      </w:r>
    </w:p>
    <w:p>
      <w:pPr>
        <w:pStyle w:val="ListParagraph"/>
        <w:numPr>
          <w:ilvl w:val="0"/>
          <w:numId w:val="1"/>
        </w:numPr>
        <w:spacing w:after="60"/>
      </w:pPr>
      <w:r>
        <w:t xml:space="preserve">Clôture : — (0/3 réponses · 0P / 0N)</w:t>
      </w:r>
    </w:p>
    <w:p>
      <w:pPr>
        <w:pStyle w:val="Heading3"/>
        <w:spacing w:after="80" w:before="200"/>
      </w:pPr>
      <w:r>
        <w:rPr>
          <w:b/>
          <w:bCs/>
          <w:sz w:val="22"/>
          <w:szCs w:val="22"/>
        </w:rPr>
        <w:t xml:space="preserve">France Num — détail par catégorie</w:t>
      </w:r>
    </w:p>
    <w:p>
      <w:pPr>
        <w:pStyle w:val="ListParagraph"/>
        <w:numPr>
          <w:ilvl w:val="0"/>
          <w:numId w:val="1"/>
        </w:numPr>
        <w:spacing w:after="60"/>
      </w:pPr>
      <w:r>
        <w:t xml:space="preserve">Présence en ligne : — (0/4 réponses · 0P / 0N)</w:t>
      </w:r>
    </w:p>
    <w:p>
      <w:pPr>
        <w:pStyle w:val="ListParagraph"/>
        <w:numPr>
          <w:ilvl w:val="0"/>
          <w:numId w:val="1"/>
        </w:numPr>
        <w:spacing w:after="60"/>
      </w:pPr>
      <w:r>
        <w:t xml:space="preserve">Relation client &amp; CRM : — (0/4 réponses · 0P / 0N)</w:t>
      </w:r>
    </w:p>
    <w:p>
      <w:pPr>
        <w:pStyle w:val="ListParagraph"/>
        <w:numPr>
          <w:ilvl w:val="0"/>
          <w:numId w:val="1"/>
        </w:numPr>
        <w:spacing w:after="60"/>
      </w:pPr>
      <w:r>
        <w:t xml:space="preserve">Vente en ligne &amp; canaux digitaux : — (0/4 réponses · 0P / 0N)</w:t>
      </w:r>
    </w:p>
    <w:p>
      <w:pPr>
        <w:pStyle w:val="ListParagraph"/>
        <w:numPr>
          <w:ilvl w:val="0"/>
          <w:numId w:val="1"/>
        </w:numPr>
        <w:spacing w:after="60"/>
      </w:pPr>
      <w:r>
        <w:t xml:space="preserve">Processus &amp; opérations numériques : — (0/4 réponses · 0P / 0N)</w:t>
      </w:r>
    </w:p>
    <w:p>
      <w:pPr>
        <w:pStyle w:val="ListParagraph"/>
        <w:numPr>
          <w:ilvl w:val="0"/>
          <w:numId w:val="1"/>
        </w:numPr>
        <w:spacing w:after="60"/>
      </w:pPr>
      <w:r>
        <w:t xml:space="preserve">Sécurité numérique de base : — (0/4 réponses · 0P / 0N)</w:t>
      </w:r>
    </w:p>
    <w:p>
      <w:pPr>
        <w:pStyle w:val="ListParagraph"/>
        <w:numPr>
          <w:ilvl w:val="0"/>
          <w:numId w:val="1"/>
        </w:numPr>
        <w:spacing w:after="60"/>
      </w:pPr>
      <w:r>
        <w:t xml:space="preserve">Données &amp; pilotage : — (0/4 réponses · 0P / 0N)</w:t>
      </w:r>
    </w:p>
    <w:p>
      <w:pPr>
        <w:pStyle w:val="Heading3"/>
        <w:spacing w:after="80" w:before="200"/>
      </w:pPr>
      <w:r>
        <w:rPr>
          <w:b/>
          <w:bCs/>
          <w:sz w:val="22"/>
          <w:szCs w:val="22"/>
        </w:rPr>
        <w:t xml:space="preserve">PCA/PRA — détail par catégorie</w:t>
      </w:r>
    </w:p>
    <w:p>
      <w:pPr>
        <w:pStyle w:val="ListParagraph"/>
        <w:numPr>
          <w:ilvl w:val="0"/>
          <w:numId w:val="1"/>
        </w:numPr>
        <w:spacing w:after="60"/>
      </w:pPr>
      <w:r>
        <w:t xml:space="preserve">Gouvernance &amp; périmètre PCA/PRA : — (0/3 réponses · 0P / 0N)</w:t>
      </w:r>
    </w:p>
    <w:p>
      <w:pPr>
        <w:pStyle w:val="ListParagraph"/>
        <w:numPr>
          <w:ilvl w:val="0"/>
          <w:numId w:val="1"/>
        </w:numPr>
        <w:spacing w:after="60"/>
      </w:pPr>
      <w:r>
        <w:t xml:space="preserve">Analyse d'impact BIA : — (0/3 réponses · 0P / 0N)</w:t>
      </w:r>
    </w:p>
    <w:p>
      <w:pPr>
        <w:pStyle w:val="ListParagraph"/>
        <w:numPr>
          <w:ilvl w:val="0"/>
          <w:numId w:val="1"/>
        </w:numPr>
        <w:spacing w:after="60"/>
      </w:pPr>
      <w:r>
        <w:t xml:space="preserve">Stratégies de continuité : — (0/3 réponses · 0P / 0N)</w:t>
      </w:r>
    </w:p>
    <w:p>
      <w:pPr>
        <w:pStyle w:val="ListParagraph"/>
        <w:numPr>
          <w:ilvl w:val="0"/>
          <w:numId w:val="1"/>
        </w:numPr>
        <w:spacing w:after="60"/>
      </w:pPr>
      <w:r>
        <w:t xml:space="preserve">Plans PCA/PRA documentation : — (0/2 réponses · 0P / 0N)</w:t>
      </w:r>
    </w:p>
    <w:p>
      <w:pPr>
        <w:pStyle w:val="ListParagraph"/>
        <w:numPr>
          <w:ilvl w:val="0"/>
          <w:numId w:val="1"/>
        </w:numPr>
        <w:spacing w:after="60"/>
      </w:pPr>
      <w:r>
        <w:t xml:space="preserve">Tests &amp; exercices : — (0/3 réponses · 0P / 0N)</w:t>
      </w:r>
    </w:p>
    <w:p>
      <w:pPr>
        <w:pStyle w:val="ListParagraph"/>
        <w:numPr>
          <w:ilvl w:val="0"/>
          <w:numId w:val="1"/>
        </w:numPr>
        <w:spacing w:after="60"/>
      </w:pPr>
      <w:r>
        <w:t xml:space="preserve">Intégration cyber : — (0/1 réponses · 0P / 0N)</w:t>
      </w:r>
    </w:p>
    <w:p>
      <w:pPr>
        <w:pStyle w:val="Heading3"/>
        <w:spacing w:after="80" w:before="200"/>
      </w:pPr>
      <w:r>
        <w:rPr>
          <w:b/>
          <w:bCs/>
          <w:sz w:val="22"/>
          <w:szCs w:val="22"/>
        </w:rPr>
        <w:t xml:space="preserve">Adoption ADKAR — détail par catégorie</w:t>
      </w:r>
    </w:p>
    <w:p>
      <w:pPr>
        <w:pStyle w:val="ListParagraph"/>
        <w:numPr>
          <w:ilvl w:val="0"/>
          <w:numId w:val="1"/>
        </w:numPr>
        <w:spacing w:after="60"/>
      </w:pPr>
      <w:r>
        <w:t xml:space="preserve">Awareness : — (0/3 réponses · 0P / 0N)</w:t>
      </w:r>
    </w:p>
    <w:p>
      <w:pPr>
        <w:pStyle w:val="ListParagraph"/>
        <w:numPr>
          <w:ilvl w:val="0"/>
          <w:numId w:val="1"/>
        </w:numPr>
        <w:spacing w:after="60"/>
      </w:pPr>
      <w:r>
        <w:t xml:space="preserve">Desire : — (0/3 réponses · 0P / 0N)</w:t>
      </w:r>
    </w:p>
    <w:p>
      <w:pPr>
        <w:pStyle w:val="ListParagraph"/>
        <w:numPr>
          <w:ilvl w:val="0"/>
          <w:numId w:val="1"/>
        </w:numPr>
        <w:spacing w:after="60"/>
      </w:pPr>
      <w:r>
        <w:t xml:space="preserve">Knowledge : — (0/3 réponses · 0P / 0N)</w:t>
      </w:r>
    </w:p>
    <w:p>
      <w:pPr>
        <w:pStyle w:val="ListParagraph"/>
        <w:numPr>
          <w:ilvl w:val="0"/>
          <w:numId w:val="1"/>
        </w:numPr>
        <w:spacing w:after="60"/>
      </w:pPr>
      <w:r>
        <w:t xml:space="preserve">Ability : — (0/3 réponses · 0P / 0N)</w:t>
      </w:r>
    </w:p>
    <w:p>
      <w:pPr>
        <w:pStyle w:val="ListParagraph"/>
        <w:numPr>
          <w:ilvl w:val="0"/>
          <w:numId w:val="1"/>
        </w:numPr>
        <w:spacing w:after="60"/>
      </w:pPr>
      <w:r>
        <w:t xml:space="preserve">Reinforcement : — (0/3 réponses · 0P / 0N)</w:t>
      </w:r>
    </w:p>
    <w:p>
      <w:pPr>
        <w:pStyle w:val="Heading3"/>
        <w:spacing w:after="80" w:before="200"/>
      </w:pPr>
      <w:r>
        <w:rPr>
          <w:b/>
          <w:bCs/>
          <w:sz w:val="22"/>
          <w:szCs w:val="22"/>
        </w:rPr>
        <w:t xml:space="preserve">Zachman SI — détail par catégorie</w:t>
      </w:r>
    </w:p>
    <w:p>
      <w:pPr>
        <w:pStyle w:val="ListParagraph"/>
        <w:numPr>
          <w:ilvl w:val="0"/>
          <w:numId w:val="1"/>
        </w:numPr>
        <w:spacing w:after="60"/>
      </w:pPr>
      <w:r>
        <w:t xml:space="preserve">Données (What) : — (0/5 réponses · 0P / 0N)</w:t>
      </w:r>
    </w:p>
    <w:p>
      <w:pPr>
        <w:pStyle w:val="ListParagraph"/>
        <w:numPr>
          <w:ilvl w:val="0"/>
          <w:numId w:val="1"/>
        </w:numPr>
        <w:spacing w:after="60"/>
      </w:pPr>
      <w:r>
        <w:t xml:space="preserve">Fonctions (How) : — (0/5 réponses · 0P / 0N)</w:t>
      </w:r>
    </w:p>
    <w:p>
      <w:pPr>
        <w:pStyle w:val="ListParagraph"/>
        <w:numPr>
          <w:ilvl w:val="0"/>
          <w:numId w:val="1"/>
        </w:numPr>
        <w:spacing w:after="60"/>
      </w:pPr>
      <w:r>
        <w:t xml:space="preserve">Réseaux (Where) : — (0/5 réponses · 0P / 0N)</w:t>
      </w:r>
    </w:p>
    <w:p>
      <w:pPr>
        <w:pStyle w:val="ListParagraph"/>
        <w:numPr>
          <w:ilvl w:val="0"/>
          <w:numId w:val="1"/>
        </w:numPr>
        <w:spacing w:after="60"/>
      </w:pPr>
      <w:r>
        <w:t xml:space="preserve">Personnes (Who) : — (0/5 réponses · 0P / 0N)</w:t>
      </w:r>
    </w:p>
    <w:p>
      <w:pPr>
        <w:pStyle w:val="ListParagraph"/>
        <w:numPr>
          <w:ilvl w:val="0"/>
          <w:numId w:val="1"/>
        </w:numPr>
        <w:spacing w:after="60"/>
      </w:pPr>
      <w:r>
        <w:t xml:space="preserve">Temps (When) : — (0/5 réponses · 0P / 0N)</w:t>
      </w:r>
    </w:p>
    <w:p>
      <w:pPr>
        <w:pStyle w:val="ListParagraph"/>
        <w:numPr>
          <w:ilvl w:val="0"/>
          <w:numId w:val="1"/>
        </w:numPr>
        <w:spacing w:after="60"/>
      </w:pPr>
      <w:r>
        <w:t xml:space="preserve">Motivations (Why) : — (0/5 réponses · 0P / 0N)</w:t>
      </w:r>
    </w:p>
    <w:p>
      <w:pPr>
        <w:pStyle w:val="Heading3"/>
        <w:spacing w:after="80" w:before="200"/>
      </w:pPr>
      <w:r>
        <w:rPr>
          <w:b/>
          <w:bCs/>
          <w:sz w:val="22"/>
          <w:szCs w:val="22"/>
        </w:rPr>
        <w:t xml:space="preserve">RGPD — détail par catégorie</w:t>
      </w:r>
    </w:p>
    <w:p>
      <w:pPr>
        <w:pStyle w:val="ListParagraph"/>
        <w:numPr>
          <w:ilvl w:val="0"/>
          <w:numId w:val="1"/>
        </w:numPr>
        <w:spacing w:after="60"/>
      </w:pPr>
      <w:r>
        <w:t xml:space="preserve">Pilotage de la protection des données : — (0/2 réponses · 0P / 0N)</w:t>
      </w:r>
    </w:p>
    <w:p>
      <w:pPr>
        <w:pStyle w:val="ListParagraph"/>
        <w:numPr>
          <w:ilvl w:val="0"/>
          <w:numId w:val="1"/>
        </w:numPr>
        <w:spacing w:after="60"/>
      </w:pPr>
      <w:r>
        <w:t xml:space="preserve">Cartographie &amp; registre des traitements : — (0/2 réponses · 0P / 0N)</w:t>
      </w:r>
    </w:p>
    <w:p>
      <w:pPr>
        <w:pStyle w:val="ListParagraph"/>
        <w:numPr>
          <w:ilvl w:val="0"/>
          <w:numId w:val="1"/>
        </w:numPr>
        <w:spacing w:after="60"/>
      </w:pPr>
      <w:r>
        <w:t xml:space="preserve">Analyse d'impact &amp; gestion des risques (DPIA) : — (0/2 réponses · 0P / 0N)</w:t>
      </w:r>
    </w:p>
    <w:p>
      <w:pPr>
        <w:pStyle w:val="ListParagraph"/>
        <w:numPr>
          <w:ilvl w:val="0"/>
          <w:numId w:val="1"/>
        </w:numPr>
        <w:spacing w:after="60"/>
      </w:pPr>
      <w:r>
        <w:t xml:space="preserve">Gestion des droits des personnes : — (0/2 réponses · 0P / 0N)</w:t>
      </w:r>
    </w:p>
    <w:p>
      <w:pPr>
        <w:pStyle w:val="ListParagraph"/>
        <w:numPr>
          <w:ilvl w:val="0"/>
          <w:numId w:val="1"/>
        </w:numPr>
        <w:spacing w:after="60"/>
      </w:pPr>
      <w:r>
        <w:t xml:space="preserve">Information &amp; transparence : — (0/2 réponses · 0P / 0N)</w:t>
      </w:r>
    </w:p>
    <w:p>
      <w:pPr>
        <w:pStyle w:val="ListParagraph"/>
        <w:numPr>
          <w:ilvl w:val="0"/>
          <w:numId w:val="1"/>
        </w:numPr>
        <w:spacing w:after="60"/>
      </w:pPr>
      <w:r>
        <w:t xml:space="preserve">Sécurité des données : — (0/2 réponses · 0P / 0N)</w:t>
      </w:r>
    </w:p>
    <w:p>
      <w:pPr>
        <w:pStyle w:val="ListParagraph"/>
        <w:numPr>
          <w:ilvl w:val="0"/>
          <w:numId w:val="1"/>
        </w:numPr>
        <w:spacing w:after="60"/>
      </w:pPr>
      <w:r>
        <w:t xml:space="preserve">Encadrement sous-traitants &amp; transferts : — (0/2 réponses · 0P / 0N)</w:t>
      </w:r>
    </w:p>
    <w:p>
      <w:pPr>
        <w:pStyle w:val="ListParagraph"/>
        <w:numPr>
          <w:ilvl w:val="0"/>
          <w:numId w:val="1"/>
        </w:numPr>
        <w:spacing w:after="60"/>
      </w:pPr>
      <w:r>
        <w:t xml:space="preserve">Sensibilisation &amp; culture RGPD : — (0/2 réponses · 0P / 0N)</w:t>
      </w:r>
    </w:p>
    <w:p>
      <w:pPr>
        <w:pStyle w:val="Heading3"/>
        <w:spacing w:after="80" w:before="200"/>
      </w:pPr>
      <w:r>
        <w:rPr>
          <w:b/>
          <w:bCs/>
          <w:sz w:val="22"/>
          <w:szCs w:val="22"/>
        </w:rPr>
        <w:t xml:space="preserve">Gestion risques — détail par catégorie</w:t>
      </w:r>
    </w:p>
    <w:p>
      <w:pPr>
        <w:pStyle w:val="ListParagraph"/>
        <w:numPr>
          <w:ilvl w:val="0"/>
          <w:numId w:val="1"/>
        </w:numPr>
        <w:spacing w:after="60"/>
      </w:pPr>
      <w:r>
        <w:t xml:space="preserve">Gouvernance &amp; politique risques : — (0/2 réponses · 0P / 0N)</w:t>
      </w:r>
    </w:p>
    <w:p>
      <w:pPr>
        <w:pStyle w:val="ListParagraph"/>
        <w:numPr>
          <w:ilvl w:val="0"/>
          <w:numId w:val="1"/>
        </w:numPr>
        <w:spacing w:after="60"/>
      </w:pPr>
      <w:r>
        <w:t xml:space="preserve">Méthodologie &amp; approche : — (0/2 réponses · 0P / 0N)</w:t>
      </w:r>
    </w:p>
    <w:p>
      <w:pPr>
        <w:pStyle w:val="ListParagraph"/>
        <w:numPr>
          <w:ilvl w:val="0"/>
          <w:numId w:val="1"/>
        </w:numPr>
        <w:spacing w:after="60"/>
      </w:pPr>
      <w:r>
        <w:t xml:space="preserve">Registre des risques : — (0/2 réponses · 0P / 0N)</w:t>
      </w:r>
    </w:p>
    <w:p>
      <w:pPr>
        <w:pStyle w:val="ListParagraph"/>
        <w:numPr>
          <w:ilvl w:val="0"/>
          <w:numId w:val="1"/>
        </w:numPr>
        <w:spacing w:after="60"/>
      </w:pPr>
      <w:r>
        <w:t xml:space="preserve">Traitement des risques : — (0/2 réponses · 0P / 0N)</w:t>
      </w:r>
    </w:p>
    <w:p>
      <w:pPr>
        <w:pStyle w:val="ListParagraph"/>
        <w:numPr>
          <w:ilvl w:val="0"/>
          <w:numId w:val="1"/>
        </w:numPr>
        <w:spacing w:after="60"/>
      </w:pPr>
      <w:r>
        <w:t xml:space="preserve">Suivi &amp; revue : — (0/2 réponses · 0P / 0N)</w:t>
      </w:r>
    </w:p>
    <w:p>
      <w:pPr>
        <w:pStyle w:val="ListParagraph"/>
        <w:numPr>
          <w:ilvl w:val="0"/>
          <w:numId w:val="1"/>
        </w:numPr>
        <w:spacing w:after="60"/>
      </w:pPr>
      <w:r>
        <w:t xml:space="preserve">Intégration décisionnelle : — (0/2 réponses · 0P / 0N)</w:t>
      </w:r>
    </w:p>
    <w:p>
      <w:pPr>
        <w:pStyle w:val="Heading3"/>
        <w:spacing w:after="80" w:before="200"/>
      </w:pPr>
      <w:r>
        <w:rPr>
          <w:b/>
          <w:bCs/>
          <w:sz w:val="22"/>
          <w:szCs w:val="22"/>
        </w:rPr>
        <w:t xml:space="preserve">Gouvernance IT — détail par catégorie</w:t>
      </w:r>
    </w:p>
    <w:p>
      <w:pPr>
        <w:pStyle w:val="ListParagraph"/>
        <w:numPr>
          <w:ilvl w:val="0"/>
          <w:numId w:val="1"/>
        </w:numPr>
        <w:spacing w:after="60"/>
      </w:pPr>
      <w:r>
        <w:t xml:space="preserve">Alignement stratégique IT/métier : — (0/2 réponses · 0P / 0N)</w:t>
      </w:r>
    </w:p>
    <w:p>
      <w:pPr>
        <w:pStyle w:val="ListParagraph"/>
        <w:numPr>
          <w:ilvl w:val="0"/>
          <w:numId w:val="1"/>
        </w:numPr>
        <w:spacing w:after="60"/>
      </w:pPr>
      <w:r>
        <w:t xml:space="preserve">Comités &amp; instances de pilotage : — (0/2 réponses · 0P / 0N)</w:t>
      </w:r>
    </w:p>
    <w:p>
      <w:pPr>
        <w:pStyle w:val="ListParagraph"/>
        <w:numPr>
          <w:ilvl w:val="0"/>
          <w:numId w:val="1"/>
        </w:numPr>
        <w:spacing w:after="60"/>
      </w:pPr>
      <w:r>
        <w:t xml:space="preserve">Budget &amp; investissement IT : — (0/2 réponses · 0P / 0N)</w:t>
      </w:r>
    </w:p>
    <w:p>
      <w:pPr>
        <w:pStyle w:val="ListParagraph"/>
        <w:numPr>
          <w:ilvl w:val="0"/>
          <w:numId w:val="1"/>
        </w:numPr>
        <w:spacing w:after="60"/>
      </w:pPr>
      <w:r>
        <w:t xml:space="preserve">Gestion fournisseurs &amp; contrats : — (0/2 réponses · 0P / 0N)</w:t>
      </w:r>
    </w:p>
    <w:p>
      <w:pPr>
        <w:pStyle w:val="ListParagraph"/>
        <w:numPr>
          <w:ilvl w:val="0"/>
          <w:numId w:val="1"/>
        </w:numPr>
        <w:spacing w:after="60"/>
      </w:pPr>
      <w:r>
        <w:t xml:space="preserve">Indicateurs &amp; reporting : — (0/2 réponses · 0P / 0N)</w:t>
      </w:r>
    </w:p>
    <w:p>
      <w:pPr>
        <w:pStyle w:val="ListParagraph"/>
        <w:numPr>
          <w:ilvl w:val="0"/>
          <w:numId w:val="1"/>
        </w:numPr>
        <w:spacing w:after="60"/>
      </w:pPr>
      <w:r>
        <w:t xml:space="preserve">Gestion du portefeuille projets IT : — (0/2 réponses · 0P / 0N)</w:t>
      </w:r>
    </w:p>
    <w:p>
      <w:pPr>
        <w:pStyle w:val="ListParagraph"/>
        <w:numPr>
          <w:ilvl w:val="0"/>
          <w:numId w:val="1"/>
        </w:numPr>
        <w:spacing w:after="60"/>
      </w:pPr>
      <w:r>
        <w:t xml:space="preserve">Ressources &amp; compétences IT : — (0/2 réponses · 0P / 0N)</w:t>
      </w:r>
    </w:p>
    <w:p>
      <w:pPr>
        <w:pStyle w:val="Heading3"/>
        <w:spacing w:after="80" w:before="200"/>
      </w:pPr>
      <w:r>
        <w:rPr>
          <w:b/>
          <w:bCs/>
          <w:sz w:val="22"/>
          <w:szCs w:val="22"/>
        </w:rPr>
        <w:t xml:space="preserve">Parc IT — détail par catégorie</w:t>
      </w:r>
    </w:p>
    <w:p>
      <w:pPr>
        <w:pStyle w:val="ListParagraph"/>
        <w:numPr>
          <w:ilvl w:val="0"/>
          <w:numId w:val="1"/>
        </w:numPr>
        <w:spacing w:after="60"/>
      </w:pPr>
      <w:r>
        <w:t xml:space="preserve">Inventaire &amp; découverte : — (0/2 réponses · 0P / 0N)</w:t>
      </w:r>
    </w:p>
    <w:p>
      <w:pPr>
        <w:pStyle w:val="ListParagraph"/>
        <w:numPr>
          <w:ilvl w:val="0"/>
          <w:numId w:val="1"/>
        </w:numPr>
        <w:spacing w:after="60"/>
      </w:pPr>
      <w:r>
        <w:t xml:space="preserve">Lifecycle postes &amp; serveurs : — (0/2 réponses · 0P / 0N)</w:t>
      </w:r>
    </w:p>
    <w:p>
      <w:pPr>
        <w:pStyle w:val="ListParagraph"/>
        <w:numPr>
          <w:ilvl w:val="0"/>
          <w:numId w:val="1"/>
        </w:numPr>
        <w:spacing w:after="60"/>
      </w:pPr>
      <w:r>
        <w:t xml:space="preserve">Gestion licences logicielles : — (0/2 réponses · 0P / 0N)</w:t>
      </w:r>
    </w:p>
    <w:p>
      <w:pPr>
        <w:pStyle w:val="ListParagraph"/>
        <w:numPr>
          <w:ilvl w:val="0"/>
          <w:numId w:val="1"/>
        </w:numPr>
        <w:spacing w:after="60"/>
      </w:pPr>
      <w:r>
        <w:t xml:space="preserve">Contrats &amp; garanties : — (0/2 réponses · 0P / 0N)</w:t>
      </w:r>
    </w:p>
    <w:p>
      <w:pPr>
        <w:pStyle w:val="ListParagraph"/>
        <w:numPr>
          <w:ilvl w:val="0"/>
          <w:numId w:val="1"/>
        </w:numPr>
        <w:spacing w:after="60"/>
      </w:pPr>
      <w:r>
        <w:t xml:space="preserve">Obsolescence &amp; dette technique : — (0/2 réponses · 0P / 0N)</w:t>
      </w:r>
    </w:p>
    <w:p>
      <w:pPr>
        <w:pStyle w:val="ListParagraph"/>
        <w:numPr>
          <w:ilvl w:val="0"/>
          <w:numId w:val="1"/>
        </w:numPr>
        <w:spacing w:after="60"/>
      </w:pPr>
      <w:r>
        <w:t xml:space="preserve">Lien avec sécurité : — (0/2 réponses · 0P / 0N)</w:t>
      </w:r>
    </w:p>
    <w:p>
      <w:pPr>
        <w:pStyle w:val="Heading3"/>
        <w:spacing w:after="80" w:before="200"/>
      </w:pPr>
      <w:r>
        <w:rPr>
          <w:b/>
          <w:bCs/>
          <w:sz w:val="22"/>
          <w:szCs w:val="22"/>
        </w:rPr>
        <w:t xml:space="preserve">Exploitation et support — détail par catégorie</w:t>
      </w:r>
    </w:p>
    <w:p>
      <w:pPr>
        <w:pStyle w:val="ListParagraph"/>
        <w:numPr>
          <w:ilvl w:val="0"/>
          <w:numId w:val="1"/>
        </w:numPr>
        <w:spacing w:after="60"/>
      </w:pPr>
      <w:r>
        <w:t xml:space="preserve">Support des utilisateurs : — (0/2 réponses · 0P / 0N)</w:t>
      </w:r>
    </w:p>
    <w:p>
      <w:pPr>
        <w:pStyle w:val="ListParagraph"/>
        <w:numPr>
          <w:ilvl w:val="0"/>
          <w:numId w:val="1"/>
        </w:numPr>
        <w:spacing w:after="60"/>
      </w:pPr>
      <w:r>
        <w:t xml:space="preserve">Prestataire et engagements de service : — (0/2 réponses · 0P / 0N)</w:t>
      </w:r>
    </w:p>
    <w:p>
      <w:pPr>
        <w:pStyle w:val="ListParagraph"/>
        <w:numPr>
          <w:ilvl w:val="0"/>
          <w:numId w:val="1"/>
        </w:numPr>
        <w:spacing w:after="60"/>
      </w:pPr>
      <w:r>
        <w:t xml:space="preserve">Accès d'administration : — (0/2 réponses · 0P / 0N)</w:t>
      </w:r>
    </w:p>
    <w:p>
      <w:pPr>
        <w:pStyle w:val="ListParagraph"/>
        <w:numPr>
          <w:ilvl w:val="0"/>
          <w:numId w:val="1"/>
        </w:numPr>
        <w:spacing w:after="60"/>
      </w:pPr>
      <w:r>
        <w:t xml:space="preserve">Mises à jour et changements : — (0/2 réponses · 0P / 0N)</w:t>
      </w:r>
    </w:p>
    <w:p>
      <w:pPr>
        <w:pStyle w:val="ListParagraph"/>
        <w:numPr>
          <w:ilvl w:val="0"/>
          <w:numId w:val="1"/>
        </w:numPr>
        <w:spacing w:after="60"/>
      </w:pPr>
      <w:r>
        <w:t xml:space="preserve">Surveillance et disponibilité : — (0/2 réponses · 0P / 0N)</w:t>
      </w:r>
    </w:p>
    <w:p>
      <w:pPr>
        <w:pStyle w:val="ListParagraph"/>
        <w:numPr>
          <w:ilvl w:val="0"/>
          <w:numId w:val="1"/>
        </w:numPr>
        <w:spacing w:after="60"/>
      </w:pPr>
      <w:r>
        <w:t xml:space="preserve">Documentation d'exploitation : — (0/2 réponses · 0P / 0N)</w:t>
      </w:r>
    </w:p>
    <w:p>
      <w:pPr>
        <w:pStyle w:val="Heading3"/>
        <w:spacing w:after="80" w:before="200"/>
      </w:pPr>
      <w:r>
        <w:rPr>
          <w:b/>
          <w:bCs/>
          <w:sz w:val="22"/>
          <w:szCs w:val="22"/>
        </w:rPr>
        <w:t xml:space="preserve">Applications et données — détail par catégorie</w:t>
      </w:r>
    </w:p>
    <w:p>
      <w:pPr>
        <w:pStyle w:val="ListParagraph"/>
        <w:numPr>
          <w:ilvl w:val="0"/>
          <w:numId w:val="1"/>
        </w:numPr>
        <w:spacing w:after="60"/>
      </w:pPr>
      <w:r>
        <w:t xml:space="preserve">Portefeuille de logiciels : — (0/2 réponses · 0P / 0N)</w:t>
      </w:r>
    </w:p>
    <w:p>
      <w:pPr>
        <w:pStyle w:val="ListParagraph"/>
        <w:numPr>
          <w:ilvl w:val="0"/>
          <w:numId w:val="1"/>
        </w:numPr>
        <w:spacing w:after="60"/>
      </w:pPr>
      <w:r>
        <w:t xml:space="preserve">Éditeurs et dépendances : — (0/2 réponses · 0P / 0N)</w:t>
      </w:r>
    </w:p>
    <w:p>
      <w:pPr>
        <w:pStyle w:val="ListParagraph"/>
        <w:numPr>
          <w:ilvl w:val="0"/>
          <w:numId w:val="1"/>
        </w:numPr>
        <w:spacing w:after="60"/>
      </w:pPr>
      <w:r>
        <w:t xml:space="preserve">Échanges entre logiciels : — (0/2 réponses · 0P / 0N)</w:t>
      </w:r>
    </w:p>
    <w:p>
      <w:pPr>
        <w:pStyle w:val="ListParagraph"/>
        <w:numPr>
          <w:ilvl w:val="0"/>
          <w:numId w:val="1"/>
        </w:numPr>
        <w:spacing w:after="60"/>
      </w:pPr>
      <w:r>
        <w:t xml:space="preserve">Données de référence et qualité : — (0/2 réponses · 0P / 0N)</w:t>
      </w:r>
    </w:p>
    <w:p>
      <w:pPr>
        <w:pStyle w:val="ListParagraph"/>
        <w:numPr>
          <w:ilvl w:val="0"/>
          <w:numId w:val="1"/>
        </w:numPr>
        <w:spacing w:after="60"/>
      </w:pPr>
      <w:r>
        <w:t xml:space="preserve">Stockage, accès et partage : — (0/2 réponses · 0P / 0N)</w:t>
      </w:r>
    </w:p>
    <w:p>
      <w:pPr>
        <w:pStyle w:val="ListParagraph"/>
        <w:numPr>
          <w:ilvl w:val="0"/>
          <w:numId w:val="1"/>
        </w:numPr>
        <w:spacing w:after="60"/>
      </w:pPr>
      <w:r>
        <w:t xml:space="preserve">Conservation et archivage : — (0/2 réponses · 0P / 0N)</w:t>
      </w:r>
    </w:p>
    <w:p>
      <w:pPr>
        <w:pStyle w:val="Heading3"/>
        <w:spacing w:after="80" w:before="200"/>
      </w:pPr>
      <w:r>
        <w:rPr>
          <w:b/>
          <w:bCs/>
          <w:sz w:val="22"/>
          <w:szCs w:val="22"/>
        </w:rPr>
        <w:t xml:space="preserve">Réseau et infrastructure — détail par catégorie</w:t>
      </w:r>
    </w:p>
    <w:p>
      <w:pPr>
        <w:pStyle w:val="ListParagraph"/>
        <w:numPr>
          <w:ilvl w:val="0"/>
          <w:numId w:val="1"/>
        </w:numPr>
        <w:spacing w:after="60"/>
      </w:pPr>
      <w:r>
        <w:t xml:space="preserve">Accès Internet et pare-feu : — (0/2 réponses · 0P / 0N)</w:t>
      </w:r>
    </w:p>
    <w:p>
      <w:pPr>
        <w:pStyle w:val="ListParagraph"/>
        <w:numPr>
          <w:ilvl w:val="0"/>
          <w:numId w:val="1"/>
        </w:numPr>
        <w:spacing w:after="60"/>
      </w:pPr>
      <w:r>
        <w:t xml:space="preserve">Réseau interne et cloisonnement : — (0/2 réponses · 0P / 0N)</w:t>
      </w:r>
    </w:p>
    <w:p>
      <w:pPr>
        <w:pStyle w:val="ListParagraph"/>
        <w:numPr>
          <w:ilvl w:val="0"/>
          <w:numId w:val="1"/>
        </w:numPr>
        <w:spacing w:after="60"/>
      </w:pPr>
      <w:r>
        <w:t xml:space="preserve">Wi-Fi : — (0/2 réponses · 0P / 0N)</w:t>
      </w:r>
    </w:p>
    <w:p>
      <w:pPr>
        <w:pStyle w:val="ListParagraph"/>
        <w:numPr>
          <w:ilvl w:val="0"/>
          <w:numId w:val="1"/>
        </w:numPr>
        <w:spacing w:after="60"/>
      </w:pPr>
      <w:r>
        <w:t xml:space="preserve">Accès à distance : — (0/2 réponses · 0P / 0N)</w:t>
      </w:r>
    </w:p>
    <w:p>
      <w:pPr>
        <w:pStyle w:val="ListParagraph"/>
        <w:numPr>
          <w:ilvl w:val="0"/>
          <w:numId w:val="1"/>
        </w:numPr>
        <w:spacing w:after="60"/>
      </w:pPr>
      <w:r>
        <w:t xml:space="preserve">Serveurs et stockage : — (0/2 réponses · 0P / 0N)</w:t>
      </w:r>
    </w:p>
    <w:p>
      <w:pPr>
        <w:pStyle w:val="ListParagraph"/>
        <w:numPr>
          <w:ilvl w:val="0"/>
          <w:numId w:val="1"/>
        </w:numPr>
        <w:spacing w:after="60"/>
      </w:pPr>
      <w:r>
        <w:t xml:space="preserve">Versions et fin de support : — (0/2 réponses · 0P / 0N)</w:t>
      </w:r>
    </w:p>
    <w:p>
      <w:pPr>
        <w:pStyle w:val="Heading3"/>
        <w:spacing w:after="80" w:before="200"/>
      </w:pPr>
      <w:r>
        <w:rPr>
          <w:b/>
          <w:bCs/>
          <w:sz w:val="22"/>
          <w:szCs w:val="22"/>
        </w:rPr>
        <w:t xml:space="preserve">Architecture et dette technique — détail par catégorie</w:t>
      </w:r>
    </w:p>
    <w:p>
      <w:pPr>
        <w:pStyle w:val="ListParagraph"/>
        <w:numPr>
          <w:ilvl w:val="0"/>
          <w:numId w:val="1"/>
        </w:numPr>
        <w:spacing w:after="60"/>
      </w:pPr>
      <w:r>
        <w:t xml:space="preserve">Vision cible : — (0/2 réponses · 0P / 0N)</w:t>
      </w:r>
    </w:p>
    <w:p>
      <w:pPr>
        <w:pStyle w:val="ListParagraph"/>
        <w:numPr>
          <w:ilvl w:val="0"/>
          <w:numId w:val="1"/>
        </w:numPr>
        <w:spacing w:after="60"/>
      </w:pPr>
      <w:r>
        <w:t xml:space="preserve">Dette technique : — (0/2 réponses · 0P / 0N)</w:t>
      </w:r>
    </w:p>
    <w:p>
      <w:pPr>
        <w:pStyle w:val="ListParagraph"/>
        <w:numPr>
          <w:ilvl w:val="0"/>
          <w:numId w:val="1"/>
        </w:numPr>
        <w:spacing w:after="60"/>
      </w:pPr>
      <w:r>
        <w:t xml:space="preserve">Outils faits maison : — (0/2 réponses · 0P / 0N)</w:t>
      </w:r>
    </w:p>
    <w:p>
      <w:pPr>
        <w:pStyle w:val="ListParagraph"/>
        <w:numPr>
          <w:ilvl w:val="0"/>
          <w:numId w:val="1"/>
        </w:numPr>
        <w:spacing w:after="60"/>
      </w:pPr>
      <w:r>
        <w:t xml:space="preserve">Relation avec les métiers : — (0/2 réponses · 0P / 0N)</w:t>
      </w:r>
    </w:p>
    <w:p>
      <w:pPr>
        <w:pStyle w:val="ListParagraph"/>
        <w:numPr>
          <w:ilvl w:val="0"/>
          <w:numId w:val="1"/>
        </w:numPr>
        <w:spacing w:after="60"/>
      </w:pPr>
      <w:r>
        <w:t xml:space="preserve">Compétences et capacités : — (0/2 réponses · 0P / 0N)</w:t>
      </w:r>
    </w:p>
    <w:p>
      <w:pPr>
        <w:pStyle w:val="ListParagraph"/>
        <w:numPr>
          <w:ilvl w:val="0"/>
          <w:numId w:val="1"/>
        </w:numPr>
        <w:spacing w:after="60"/>
      </w:pPr>
      <w:r>
        <w:t xml:space="preserve">Choix et réversibilité : — (0/2 réponses · 0P / 0N)</w:t>
      </w:r>
    </w:p>
    <w:p>
      <w:pPr>
        <w:pStyle w:val="Heading3"/>
        <w:spacing w:after="80" w:before="200"/>
      </w:pPr>
      <w:r>
        <w:rPr>
          <w:b/>
          <w:bCs/>
          <w:sz w:val="22"/>
          <w:szCs w:val="22"/>
        </w:rPr>
        <w:t xml:space="preserve">Conduite de projet — détail par catégorie</w:t>
      </w:r>
    </w:p>
    <w:p>
      <w:pPr>
        <w:pStyle w:val="ListParagraph"/>
        <w:numPr>
          <w:ilvl w:val="0"/>
          <w:numId w:val="1"/>
        </w:numPr>
        <w:spacing w:after="60"/>
      </w:pPr>
      <w:r>
        <w:t xml:space="preserve">Gouvernance des projets : — (0/3 réponses · 0P / 0N)</w:t>
      </w:r>
    </w:p>
    <w:p>
      <w:pPr>
        <w:pStyle w:val="ListParagraph"/>
        <w:numPr>
          <w:ilvl w:val="0"/>
          <w:numId w:val="1"/>
        </w:numPr>
        <w:spacing w:after="60"/>
      </w:pPr>
      <w:r>
        <w:t xml:space="preserve">Cadrage : — (0/3 réponses · 0P / 0N)</w:t>
      </w:r>
    </w:p>
    <w:p>
      <w:pPr>
        <w:pStyle w:val="ListParagraph"/>
        <w:numPr>
          <w:ilvl w:val="0"/>
          <w:numId w:val="1"/>
        </w:numPr>
        <w:spacing w:after="60"/>
      </w:pPr>
      <w:r>
        <w:t xml:space="preserve">Pilotage et suivi : — (0/3 réponses · 0P / 0N)</w:t>
      </w:r>
    </w:p>
    <w:p>
      <w:pPr>
        <w:pStyle w:val="ListParagraph"/>
        <w:numPr>
          <w:ilvl w:val="0"/>
          <w:numId w:val="1"/>
        </w:numPr>
        <w:spacing w:after="60"/>
      </w:pPr>
      <w:r>
        <w:t xml:space="preserve">Livraison et adoption : — (0/3 réponses · 0P / 0N)</w:t>
      </w:r>
    </w:p>
    <w:p>
      <w:pPr>
        <w:pStyle w:val="ListParagraph"/>
        <w:numPr>
          <w:ilvl w:val="0"/>
          <w:numId w:val="1"/>
        </w:numPr>
        <w:spacing w:after="60"/>
      </w:pPr>
      <w:r>
        <w:t xml:space="preserve">Clôture : — (0/3 réponses · 0P / 0N)</w:t>
      </w:r>
    </w:p>
    <w:p>
      <w:pPr>
        <w:pStyle w:val="Heading3"/>
        <w:spacing w:after="80" w:before="200"/>
      </w:pPr>
      <w:r>
        <w:rPr>
          <w:b/>
          <w:bCs/>
          <w:sz w:val="22"/>
          <w:szCs w:val="22"/>
        </w:rPr>
        <w:t xml:space="preserve">Reprise de projet — détail par catégorie</w:t>
      </w:r>
    </w:p>
    <w:p>
      <w:pPr>
        <w:pStyle w:val="ListParagraph"/>
        <w:numPr>
          <w:ilvl w:val="0"/>
          <w:numId w:val="1"/>
        </w:numPr>
        <w:spacing w:after="60"/>
      </w:pPr>
      <w:r>
        <w:t xml:space="preserve">Décision : — (0/2 réponses · 0P / 0N)</w:t>
      </w:r>
    </w:p>
    <w:p>
      <w:pPr>
        <w:pStyle w:val="ListParagraph"/>
        <w:numPr>
          <w:ilvl w:val="0"/>
          <w:numId w:val="1"/>
        </w:numPr>
        <w:spacing w:after="60"/>
      </w:pPr>
      <w:r>
        <w:t xml:space="preserve">Responsabilité : — (0/2 réponses · 0P / 0N)</w:t>
      </w:r>
    </w:p>
    <w:p>
      <w:pPr>
        <w:pStyle w:val="ListParagraph"/>
        <w:numPr>
          <w:ilvl w:val="0"/>
          <w:numId w:val="1"/>
        </w:numPr>
        <w:spacing w:after="60"/>
      </w:pPr>
      <w:r>
        <w:t xml:space="preserve">Échéance : — (0/2 réponses · 0P / 0N)</w:t>
      </w:r>
    </w:p>
    <w:p>
      <w:pPr>
        <w:pStyle w:val="ListParagraph"/>
        <w:numPr>
          <w:ilvl w:val="0"/>
          <w:numId w:val="1"/>
        </w:numPr>
        <w:spacing w:after="60"/>
      </w:pPr>
      <w:r>
        <w:t xml:space="preserve">Budget : — (0/2 réponses · 0P / 0N)</w:t>
      </w:r>
    </w:p>
    <w:p>
      <w:pPr>
        <w:pStyle w:val="ListParagraph"/>
        <w:numPr>
          <w:ilvl w:val="0"/>
          <w:numId w:val="1"/>
        </w:numPr>
        <w:spacing w:after="60"/>
      </w:pPr>
      <w:r>
        <w:t xml:space="preserve">Risques : — (0/2 réponses · 0P / 0N)</w:t>
      </w:r>
    </w:p>
    <w:p>
      <w:pPr>
        <w:pStyle w:val="ListParagraph"/>
        <w:numPr>
          <w:ilvl w:val="0"/>
          <w:numId w:val="1"/>
        </w:numPr>
        <w:spacing w:after="60"/>
      </w:pPr>
      <w:r>
        <w:t xml:space="preserve">Statut affiché : — (0/2 réponses · 0P / 0N)</w:t>
      </w:r>
    </w:p>
    <w:p>
      <w:pPr>
        <w:pStyle w:val="ListParagraph"/>
        <w:numPr>
          <w:ilvl w:val="0"/>
          <w:numId w:val="1"/>
        </w:numPr>
        <w:spacing w:after="60"/>
      </w:pPr>
      <w:r>
        <w:t xml:space="preserve">Périmètre et arrêt : — (0/2 réponses · 0P / 0N)</w:t>
      </w:r>
    </w:p>
    <w:p>
      <w:pPr>
        <w:pStyle w:val="Heading3"/>
        <w:spacing w:after="80" w:before="200"/>
      </w:pPr>
      <w:r>
        <w:rPr>
          <w:b/>
          <w:bCs/>
          <w:sz w:val="22"/>
          <w:szCs w:val="22"/>
        </w:rPr>
        <w:t xml:space="preserve">Reprise de projet, 6 phrases — détail par catégorie</w:t>
      </w:r>
    </w:p>
    <w:p>
      <w:pPr>
        <w:pStyle w:val="ListParagraph"/>
        <w:numPr>
          <w:ilvl w:val="0"/>
          <w:numId w:val="1"/>
        </w:numPr>
        <w:spacing w:after="60"/>
      </w:pPr>
      <w:r>
        <w:t xml:space="preserve">Test des 6 phrases : — (0/6 réponses · 0P / 0N)</w:t>
      </w:r>
    </w:p>
    <w:p>
      <w:pPr>
        <w:pStyle w:val="ListParagraph"/>
        <w:numPr>
          <w:ilvl w:val="0"/>
          <w:numId w:val="1"/>
        </w:numPr>
        <w:spacing w:after="60"/>
      </w:pPr>
      <w:r>
        <w:t xml:space="preserve">Indicateurs de complexité : — (0/5 réponses · 0P / 0N)</w:t>
      </w:r>
    </w:p>
    <w:p>
      <w:pPr>
        <w:pStyle w:val="Heading3"/>
        <w:spacing w:after="80" w:before="200"/>
      </w:pPr>
      <w:r>
        <w:rPr>
          <w:b/>
          <w:bCs/>
          <w:sz w:val="22"/>
          <w:szCs w:val="22"/>
        </w:rPr>
        <w:t xml:space="preserve">Sensibilisation — détail par catégorie</w:t>
      </w:r>
    </w:p>
    <w:p>
      <w:pPr>
        <w:pStyle w:val="ListParagraph"/>
        <w:numPr>
          <w:ilvl w:val="0"/>
          <w:numId w:val="1"/>
        </w:numPr>
        <w:spacing w:after="60"/>
      </w:pPr>
      <w:r>
        <w:t xml:space="preserve">Programme de sensibilisation : — (0/2 réponses · 0P / 0N)</w:t>
      </w:r>
    </w:p>
    <w:p>
      <w:pPr>
        <w:pStyle w:val="ListParagraph"/>
        <w:numPr>
          <w:ilvl w:val="0"/>
          <w:numId w:val="1"/>
        </w:numPr>
        <w:spacing w:after="60"/>
      </w:pPr>
      <w:r>
        <w:t xml:space="preserve">Campagnes phishing simulé : — (0/2 réponses · 0P / 0N)</w:t>
      </w:r>
    </w:p>
    <w:p>
      <w:pPr>
        <w:pStyle w:val="ListParagraph"/>
        <w:numPr>
          <w:ilvl w:val="0"/>
          <w:numId w:val="1"/>
        </w:numPr>
        <w:spacing w:after="60"/>
      </w:pPr>
      <w:r>
        <w:t xml:space="preserve">Communication interne &amp; supports : — (0/2 réponses · 0P / 0N)</w:t>
      </w:r>
    </w:p>
    <w:p>
      <w:pPr>
        <w:pStyle w:val="ListParagraph"/>
        <w:numPr>
          <w:ilvl w:val="0"/>
          <w:numId w:val="1"/>
        </w:numPr>
        <w:spacing w:after="60"/>
      </w:pPr>
      <w:r>
        <w:t xml:space="preserve">Suivi &amp; indicateurs : — (0/2 réponses · 0P / 0N)</w:t>
      </w:r>
    </w:p>
    <w:p>
      <w:pPr>
        <w:pStyle w:val="ListParagraph"/>
        <w:numPr>
          <w:ilvl w:val="0"/>
          <w:numId w:val="1"/>
        </w:numPr>
        <w:spacing w:after="60"/>
      </w:pPr>
      <w:r>
        <w:t xml:space="preserve">Sponsoring management &amp; intégration gouvernance : — (0/2 réponses · 0P / 0N)</w:t>
      </w:r>
    </w:p>
    <w:p>
      <w:pPr>
        <w:pStyle w:val="Heading3"/>
        <w:spacing w:after="80" w:before="200"/>
      </w:pPr>
      <w:r>
        <w:rPr>
          <w:b/>
          <w:bCs/>
          <w:sz w:val="22"/>
          <w:szCs w:val="22"/>
        </w:rPr>
        <w:t xml:space="preserve">Google Workspace — détail par catégorie</w:t>
      </w:r>
    </w:p>
    <w:p>
      <w:pPr>
        <w:pStyle w:val="ListParagraph"/>
        <w:numPr>
          <w:ilvl w:val="0"/>
          <w:numId w:val="1"/>
        </w:numPr>
        <w:spacing w:after="60"/>
      </w:pPr>
      <w:r>
        <w:t xml:space="preserve">Identite &amp; 2SV : 20/100 (5/5 réponses · 2P / 3N)</w:t>
      </w:r>
    </w:p>
    <w:p>
      <w:pPr>
        <w:pStyle w:val="ListParagraph"/>
        <w:numPr>
          <w:ilvl w:val="0"/>
          <w:numId w:val="1"/>
        </w:numPr>
        <w:spacing w:after="60"/>
      </w:pPr>
      <w:r>
        <w:t xml:space="preserve">Partage &amp; DLP : 13/100 (4/4 réponses · 1P / 3N)</w:t>
      </w:r>
    </w:p>
    <w:p>
      <w:pPr>
        <w:pStyle w:val="ListParagraph"/>
        <w:numPr>
          <w:ilvl w:val="0"/>
          <w:numId w:val="1"/>
        </w:numPr>
        <w:spacing w:after="60"/>
      </w:pPr>
      <w:r>
        <w:t xml:space="preserve">Securite email : 17/100 (3/3 réponses · 1P / 2N)</w:t>
      </w:r>
    </w:p>
    <w:p>
      <w:pPr>
        <w:pStyle w:val="ListParagraph"/>
        <w:numPr>
          <w:ilvl w:val="0"/>
          <w:numId w:val="1"/>
        </w:numPr>
        <w:spacing w:after="60"/>
      </w:pPr>
      <w:r>
        <w:t xml:space="preserve">Mobilite : 25/100 (2/2 réponses · 1P / 1N)</w:t>
      </w:r>
    </w:p>
    <w:p>
      <w:pPr>
        <w:pStyle w:val="ListParagraph"/>
        <w:numPr>
          <w:ilvl w:val="0"/>
          <w:numId w:val="1"/>
        </w:numPr>
        <w:spacing w:after="60"/>
      </w:pPr>
      <w:r>
        <w:t xml:space="preserve">Gouvernance : 0/100 (1/3 réponses · 0P / 1N)</w:t>
      </w:r>
    </w:p>
    <w:p>
      <w:pPr>
        <w:pStyle w:val="ListParagraph"/>
        <w:numPr>
          <w:ilvl w:val="0"/>
          <w:numId w:val="1"/>
        </w:numPr>
        <w:spacing w:after="60"/>
      </w:pPr>
      <w:r>
        <w:t xml:space="preserve">Conformite : — (0/3 réponses · 0P / 0N)</w:t>
      </w:r>
    </w:p>
    <w:p>
      <w:pPr>
        <w:pStyle w:val="Heading3"/>
        <w:spacing w:after="80" w:before="200"/>
      </w:pPr>
      <w:r>
        <w:rPr>
          <w:b/>
          <w:bCs/>
          <w:sz w:val="22"/>
          <w:szCs w:val="22"/>
        </w:rPr>
        <w:t xml:space="preserve">FinOps — détail par catégorie</w:t>
      </w:r>
    </w:p>
    <w:p>
      <w:pPr>
        <w:pStyle w:val="ListParagraph"/>
        <w:numPr>
          <w:ilvl w:val="0"/>
          <w:numId w:val="1"/>
        </w:numPr>
        <w:spacing w:after="60"/>
      </w:pPr>
      <w:r>
        <w:t xml:space="preserve">Visibilité &amp; allocation : — (0/4 réponses · 0P / 0N)</w:t>
      </w:r>
    </w:p>
    <w:p>
      <w:pPr>
        <w:pStyle w:val="ListParagraph"/>
        <w:numPr>
          <w:ilvl w:val="0"/>
          <w:numId w:val="1"/>
        </w:numPr>
        <w:spacing w:after="60"/>
      </w:pPr>
      <w:r>
        <w:t xml:space="preserve">Licences &amp; SaaS : — (0/5 réponses · 0P / 0N)</w:t>
      </w:r>
    </w:p>
    <w:p>
      <w:pPr>
        <w:pStyle w:val="ListParagraph"/>
        <w:numPr>
          <w:ilvl w:val="0"/>
          <w:numId w:val="1"/>
        </w:numPr>
        <w:spacing w:after="60"/>
      </w:pPr>
      <w:r>
        <w:t xml:space="preserve">Cloud &amp; infrastructure : — (0/4 réponses · 0P / 0N)</w:t>
      </w:r>
    </w:p>
    <w:p>
      <w:pPr>
        <w:pStyle w:val="ListParagraph"/>
        <w:numPr>
          <w:ilvl w:val="0"/>
          <w:numId w:val="1"/>
        </w:numPr>
        <w:spacing w:after="60"/>
      </w:pPr>
      <w:r>
        <w:t xml:space="preserve">FinOps IA : — (0/5 réponses · 0P / 0N)</w:t>
      </w:r>
    </w:p>
    <w:p>
      <w:pPr>
        <w:pStyle w:val="ListParagraph"/>
        <w:numPr>
          <w:ilvl w:val="0"/>
          <w:numId w:val="1"/>
        </w:numPr>
        <w:spacing w:after="60"/>
      </w:pPr>
      <w:r>
        <w:t xml:space="preserve">Gouvernance &amp; processus : — (0/4 réponses · 0P / 0N)</w:t>
      </w:r>
    </w:p>
    <w:p>
      <w:pPr>
        <w:pStyle w:val="ListParagraph"/>
        <w:numPr>
          <w:ilvl w:val="0"/>
          <w:numId w:val="1"/>
        </w:numPr>
        <w:spacing w:after="60"/>
      </w:pPr>
      <w:r>
        <w:t xml:space="preserve">Sobriété &amp; durabilité : — (0/2 réponses · 0P / 0N)</w:t>
      </w:r>
    </w:p>
    <w:p>
      <w:pPr>
        <w:pStyle w:val="Heading3"/>
        <w:spacing w:after="80" w:before="200"/>
      </w:pPr>
      <w:r>
        <w:rPr>
          <w:b/>
          <w:bCs/>
          <w:sz w:val="22"/>
          <w:szCs w:val="22"/>
        </w:rPr>
        <w:t xml:space="preserve">Données manquantes critiques</w:t>
      </w:r>
    </w:p>
    <w:p>
      <w:pPr>
        <w:pStyle w:val="ListParagraph"/>
        <w:numPr>
          <w:ilvl w:val="0"/>
          <w:numId w:val="1"/>
        </w:numPr>
        <w:spacing w:after="60"/>
      </w:pPr>
      <w:r>
        <w:t xml:space="preserve">Sponsor mission non désigné</w:t>
      </w:r>
    </w:p>
    <w:p>
      <w:pPr>
        <w:pStyle w:val="Heading1"/>
        <w:pageBreakBefore/>
        <w:spacing w:after="160" w:before="320"/>
      </w:pPr>
      <w:r>
        <w:rPr>
          <w:b/>
          <w:bCs/>
          <w:color w:val="6366F1"/>
          <w:sz w:val="36"/>
          <w:szCs w:val="36"/>
        </w:rPr>
        <w:t xml:space="preserve">5. Constats par axe</w:t>
      </w:r>
    </w:p>
    <w:p>
      <w:pPr>
        <w:pStyle w:val="Heading2"/>
        <w:spacing w:after="120" w:before="240"/>
      </w:pPr>
      <w:r>
        <w:rPr>
          <w:b/>
          <w:bCs/>
          <w:color w:val="6366F1"/>
          <w:sz w:val="26"/>
          <w:szCs w:val="26"/>
        </w:rPr>
        <w:t xml:space="preserve">Diag IT N1 — Diagnostic Express — Cybersécurité &amp; Continuité d'activité</w:t>
      </w:r>
    </w:p>
    <w:p>
      <w:pPr>
        <w:spacing w:after="120"/>
      </w:pPr>
      <w:r>
        <w:t xml:space="preserve">Duval Artisanat présente un niveau de maturité IT critique sur les axes cybersécurité et continuité, deux piliers directement liés à ses enjeux de continuité d'activité et de relation client. Aucun compte sans droits administrateur n'est en place (Q23 Non), la MFA est absente sur la messagerie et les accès sensibles (Q03 Non), et les postes ne font l'objet d'aucun maintien en condition de sécurité (Q05 Non) : un incident ransomware ou une compromission de compte bloquerait l'activité sans filet. Les sauvegardes existent partiellement mais n'ont jamais été testées en restauration réelle (Q25 Non), et aucun PRA ni procédure dégradée n'est formalisé (Q08 Non, Q26 Non), ce qui signifie qu'une panne Internet ou prestataire suffit à paralyser le chantier ou la facturation client. En parallèle, la gouvernance SI est inexistante (Q01 Non, Q02 Partiel) et aucun contrat prestataire ne couvre la sécurité ou la réversibilité (Q13 Non), laissant l'entreprise sans pilote ni garde-fou face à ces risques. La conformité facturation électronique 2026 n'est que partiellement engagée (Q17 Partiel, Q18 Non), ajoutant un risque réglementaire à court terme sur la relation client.</w:t>
      </w:r>
    </w:p>
    <w:p>
      <w:pPr>
        <w:pStyle w:val="ListParagraph"/>
        <w:numPr>
          <w:ilvl w:val="0"/>
          <w:numId w:val="1"/>
        </w:numPr>
        <w:spacing w:after="60"/>
      </w:pPr>
      <w:r>
        <w:t xml:space="preserve">Q23 Non — comptes quotidiens avec droits admin : exposition maximale en cas de compromission</w:t>
      </w:r>
    </w:p>
    <w:p>
      <w:pPr>
        <w:pStyle w:val="ListParagraph"/>
        <w:numPr>
          <w:ilvl w:val="0"/>
          <w:numId w:val="1"/>
        </w:numPr>
        <w:spacing w:after="60"/>
      </w:pPr>
      <w:r>
        <w:t xml:space="preserve">Q03 Non — MFA absente sur messagerie et accès distants</w:t>
      </w:r>
    </w:p>
    <w:p>
      <w:pPr>
        <w:pStyle w:val="ListParagraph"/>
        <w:numPr>
          <w:ilvl w:val="0"/>
          <w:numId w:val="1"/>
        </w:numPr>
        <w:spacing w:after="60"/>
      </w:pPr>
      <w:r>
        <w:t xml:space="preserve">Q05 Non — postes et logiciels sans mises à jour ni protection malware</w:t>
      </w:r>
    </w:p>
    <w:p>
      <w:pPr>
        <w:pStyle w:val="ListParagraph"/>
        <w:numPr>
          <w:ilvl w:val="0"/>
          <w:numId w:val="1"/>
        </w:numPr>
        <w:spacing w:after="60"/>
      </w:pPr>
      <w:r>
        <w:t xml:space="preserve">Q25 Non — sauvegardes jamais testées en restauration réelle</w:t>
      </w:r>
    </w:p>
    <w:p>
      <w:pPr>
        <w:pStyle w:val="ListParagraph"/>
        <w:numPr>
          <w:ilvl w:val="0"/>
          <w:numId w:val="1"/>
        </w:numPr>
        <w:spacing w:after="60"/>
      </w:pPr>
      <w:r>
        <w:t xml:space="preserve">Q08 Non — aucun PRA ni scénario ransomware/panne formalisé</w:t>
      </w:r>
    </w:p>
    <w:p>
      <w:pPr>
        <w:pStyle w:val="ListParagraph"/>
        <w:numPr>
          <w:ilvl w:val="0"/>
          <w:numId w:val="1"/>
        </w:numPr>
        <w:spacing w:after="60"/>
      </w:pPr>
      <w:r>
        <w:t xml:space="preserve">Q26 Non — activité bloquée dès coupure Internet, sans procédure dégradée</w:t>
      </w:r>
    </w:p>
    <w:p>
      <w:pPr>
        <w:pStyle w:val="ListParagraph"/>
        <w:numPr>
          <w:ilvl w:val="0"/>
          <w:numId w:val="1"/>
        </w:numPr>
        <w:spacing w:after="60"/>
      </w:pPr>
      <w:r>
        <w:t xml:space="preserve">Q01 Non — aucun responsable SI identifié pour piloter les risques</w:t>
      </w:r>
    </w:p>
    <w:p>
      <w:pPr>
        <w:pStyle w:val="ListParagraph"/>
        <w:numPr>
          <w:ilvl w:val="0"/>
          <w:numId w:val="1"/>
        </w:numPr>
        <w:spacing w:after="60"/>
      </w:pPr>
      <w:r>
        <w:t xml:space="preserve">Q13 Non — contrats prestataires sans clause sécurité ni réversibilité</w:t>
      </w:r>
    </w:p>
    <w:p>
      <w:pPr>
        <w:pStyle w:val="ListParagraph"/>
        <w:numPr>
          <w:ilvl w:val="0"/>
          <w:numId w:val="1"/>
        </w:numPr>
        <w:spacing w:after="60"/>
      </w:pPr>
      <w:r>
        <w:t xml:space="preserve">Q17 Partiel / Q18 Non — trajectoire facturation électronique 2026 non arrêtée</w:t>
      </w:r>
    </w:p>
    <w:p>
      <w:pPr>
        <w:pStyle w:val="Heading2"/>
        <w:spacing w:after="120" w:before="240"/>
      </w:pPr>
      <w:r>
        <w:rPr>
          <w:b/>
          <w:bCs/>
          <w:color w:val="6366F1"/>
          <w:sz w:val="26"/>
          <w:szCs w:val="26"/>
        </w:rPr>
        <w:t xml:space="preserve">Google Workspace — Identité, accès &amp; gouvernance de la plateforme collaborative (score 0/100)</w:t>
      </w:r>
    </w:p>
    <w:p>
      <w:pPr>
        <w:spacing w:after="120"/>
      </w:pPr>
      <w:r>
        <w:t xml:space="preserve">TEST_TPE Duval Artisanat présente une exposition critique sur l'ensemble de sa plateforme Google Workspace : aucune bonne pratique n'est pleinement appliquée sur les 15 points audités, et les 5 réponses « Partiel » masquent des lacunes substantielles (2SV non imposée uniformément, DLP embryonnaire, DMARC non en mode rejet, endpoint management incomplet). Les risques les plus sévères touchent directement la </w:t>
      </w:r>
      <w:r>
        <w:rPr>
          <w:b/>
          <w:bCs/>
        </w:rPr>
        <w:t xml:space="preserve">continuité d'activité</w:t>
      </w:r>
      <w:r>
        <w:t xml:space="preserve"> : absence de processus de départ formalisé (GWS05 – Non), comptes super-administrateurs non cloisonnés et non sécurisés par clé physique (GWS02, GWS03 – Non), et journaux d'audit jamais consultés (GWS15 – Non), ce qui rend toute détection d'incident impossible. La </w:t>
      </w:r>
      <w:r>
        <w:rPr>
          <w:b/>
          <w:bCs/>
        </w:rPr>
        <w:t xml:space="preserve">relation client</w:t>
      </w:r>
      <w:r>
        <w:t xml:space="preserve"> est également menacée : le partage Drive externe n'est pas restreint (GWS06 – Non), le transfert automatique de mails vers l'extérieur est autorisé (GWS12 – Non) et la protection anti-phishing avancée est inactive (GWS11 – Non), ouvrant la voie à une exfiltration de données ou à une usurpation d'identité préjudiciable à la réputation de l'entreprise. La priorité absolue est de sécuriser les comptes administrateurs, de bloquer le partage et le transfert non contrôlés, puis d'activer l'audit — trois actions réalisables sans surcoût sur la licence existante.</w:t>
      </w:r>
    </w:p>
    <w:p>
      <w:pPr>
        <w:pStyle w:val="ListParagraph"/>
        <w:numPr>
          <w:ilvl w:val="0"/>
          <w:numId w:val="1"/>
        </w:numPr>
        <w:spacing w:after="60"/>
      </w:pPr>
      <w:r>
        <w:t xml:space="preserve">GWS03 Non — comptes super-admin non nominatifs ni limités en nombre</w:t>
      </w:r>
    </w:p>
    <w:p>
      <w:pPr>
        <w:pStyle w:val="ListParagraph"/>
        <w:numPr>
          <w:ilvl w:val="0"/>
          <w:numId w:val="1"/>
        </w:numPr>
        <w:spacing w:after="60"/>
      </w:pPr>
      <w:r>
        <w:t xml:space="preserve">GWS05 Non — aucun processus de départ formalisé (désactivation, transfert données)</w:t>
      </w:r>
    </w:p>
    <w:p>
      <w:pPr>
        <w:pStyle w:val="ListParagraph"/>
        <w:numPr>
          <w:ilvl w:val="0"/>
          <w:numId w:val="1"/>
        </w:numPr>
        <w:spacing w:after="60"/>
      </w:pPr>
      <w:r>
        <w:t xml:space="preserve">GWS12 Non — transfert automatique de mails vers l'externe non bloqué</w:t>
      </w:r>
    </w:p>
    <w:p>
      <w:pPr>
        <w:pStyle w:val="ListParagraph"/>
        <w:numPr>
          <w:ilvl w:val="0"/>
          <w:numId w:val="1"/>
        </w:numPr>
        <w:spacing w:after="60"/>
      </w:pPr>
      <w:r>
        <w:t xml:space="preserve">GWS06 Non — partage Drive externe non restreint par défaut</w:t>
      </w:r>
    </w:p>
    <w:p>
      <w:pPr>
        <w:pStyle w:val="ListParagraph"/>
        <w:numPr>
          <w:ilvl w:val="0"/>
          <w:numId w:val="1"/>
        </w:numPr>
        <w:spacing w:after="60"/>
      </w:pPr>
      <w:r>
        <w:t xml:space="preserve">GWS15 Non — journaux d'audit jamais activés ni consultés</w:t>
      </w:r>
    </w:p>
    <w:p>
      <w:pPr>
        <w:pStyle w:val="ListParagraph"/>
        <w:numPr>
          <w:ilvl w:val="0"/>
          <w:numId w:val="1"/>
        </w:numPr>
        <w:spacing w:after="60"/>
      </w:pPr>
      <w:r>
        <w:t xml:space="preserve">GWS11 Non — protection anti-phishing/malware avancée inactive dans Gmail</w:t>
      </w:r>
    </w:p>
    <w:p>
      <w:pPr>
        <w:pStyle w:val="Heading1"/>
        <w:pageBreakBefore/>
        <w:spacing w:after="160" w:before="320"/>
      </w:pPr>
      <w:r>
        <w:rPr>
          <w:b/>
          <w:bCs/>
          <w:color w:val="6366F1"/>
          <w:sz w:val="36"/>
          <w:szCs w:val="36"/>
        </w:rPr>
        <w:t xml:space="preserve">6. Croisement enjeux business / IT</w:t>
      </w:r>
    </w:p>
    <w:p>
      <w:pPr>
        <w:spacing w:after="120"/>
      </w:pPr>
      <w:r>
        <w:t xml:space="preserve">Les deux enjeux business déclarés — </w:t>
      </w:r>
      <w:r>
        <w:rPr>
          <w:b/>
          <w:bCs/>
        </w:rPr>
        <w:t xml:space="preserve">continuité d'activité</w:t>
      </w:r>
      <w:r>
        <w:t xml:space="preserve"> et </w:t>
      </w:r>
      <w:r>
        <w:rPr>
          <w:b/>
          <w:bCs/>
        </w:rPr>
        <w:t xml:space="preserve">relation client</w:t>
      </w:r>
      <w:r>
        <w:t xml:space="preserve"> — sont directement et simultanément menacés par les mêmes failles techniques. L'absence de MFA, de sauvegardes testées et de PRA crée un risque d'interruption totale qui se traduit immédiatement en chantiers bloqués, devis non envoyés et factures non émises : c'est un impact client direct, pas seulement un problème IT interne. Symétriquement, les failles de gouvernance Workspace (partage Drive libre, transfert mail non contrôlé, anti-phishing inactif) exposent les données clients et la réputation de l'entreprise, fragilisant la confiance construite sur le terrain. La conformité RGPD et facturation électronique 2026 s'inscrit dans ce même continuum : un manquement réglementaire détecté par un client grand compte ou un donneur d'ordre public peut suffire à rompre une relation commerciale. Toute action de remédiation doit donc être présentée et priorisée sous l'angle de la </w:t>
      </w:r>
      <w:r>
        <w:rPr>
          <w:b/>
          <w:bCs/>
        </w:rPr>
        <w:t xml:space="preserve">protection de l'outil de travail et de la réputation client</w:t>
      </w:r>
      <w:r>
        <w:t xml:space="preserve">, pas uniquement sous un angle technique.</w:t>
      </w:r>
    </w:p>
    <w:p>
      <w:pPr>
        <w:pStyle w:val="Heading1"/>
        <w:pageBreakBefore/>
        <w:spacing w:after="160" w:before="320"/>
      </w:pPr>
      <w:r>
        <w:rPr>
          <w:b/>
          <w:bCs/>
          <w:color w:val="6366F1"/>
          <w:sz w:val="36"/>
          <w:szCs w:val="36"/>
        </w:rPr>
        <w:t xml:space="preserve">7. Risques prioritaires</w:t>
      </w:r>
    </w:p>
    <w:p>
      <w:pPr>
        <w:pStyle w:val="Heading2"/>
        <w:spacing w:after="120" w:before="240"/>
      </w:pPr>
      <w:r>
        <w:rPr>
          <w:b/>
          <w:bCs/>
          <w:color w:val="6366F1"/>
          <w:sz w:val="26"/>
          <w:szCs w:val="26"/>
        </w:rPr>
        <w:t xml:space="preserve">7.b Lecture consolidée</w:t>
      </w:r>
    </w:p>
    <w:p>
      <w:pPr>
        <w:spacing w:after="120"/>
      </w:pPr>
      <w:r>
        <w:rPr>
          <w:b/>
          <w:bCs/>
        </w:rPr>
        <w:t xml:space="preserve">1. Ransomware / compromission de compte (critique)</w:t>
      </w:r>
      <w:r>
        <w:t xml:space="preserve"> — Absence de MFA, postes en compte admin, sauvegardes non testées : un seul clic sur un mail de phishing peut bloquer l'intégralité de l'activité sans possibilité de reprise rapide. </w:t>
      </w:r>
      <w:r>
        <w:rPr>
          <w:b/>
          <w:bCs/>
        </w:rPr>
        <w:t xml:space="preserve">2. Exfiltration ou usurpation d'identité client (critique)</w:t>
      </w:r>
      <w:r>
        <w:t xml:space="preserve"> — Transfert mail libre, partage Drive non restreint, DMARC non en rejet : les données clients et la réputation de l'entreprise sont exposées sans détection possible. </w:t>
      </w:r>
      <w:r>
        <w:rPr>
          <w:b/>
          <w:bCs/>
        </w:rPr>
        <w:t xml:space="preserve">3. Paralysie sur incident prestataire ou panne réseau (élevé)</w:t>
      </w:r>
      <w:r>
        <w:t xml:space="preserve"> — Aucun PRA ni procédure dégradée : une panne Internet ou un prestataire indisponible suffit à bloquer facturation et communication chantier. </w:t>
      </w:r>
      <w:r>
        <w:rPr>
          <w:b/>
          <w:bCs/>
        </w:rPr>
        <w:t xml:space="preserve">4. Non-conformité facturation électronique 2026 (modéré, calendaire)</w:t>
      </w:r>
      <w:r>
        <w:t xml:space="preserve"> — Engagement partiel insuffisant pour respecter l'échéance réglementaire, avec risque de friction clients grands comptes dès 2025. </w:t>
      </w:r>
      <w:r>
        <w:rPr>
          <w:b/>
          <w:bCs/>
        </w:rPr>
        <w:t xml:space="preserve">5. Accès persistants d'anciens salariés (élevé)</w:t>
      </w:r>
      <w:r>
        <w:t xml:space="preserve"> — Absence de processus de départ formalisé : des ex-collaborateurs peuvent conserver un accès actif aux mails, documents et données clients de l'entreprise.</w:t>
      </w:r>
    </w:p>
    <w:p>
      <w:pPr>
        <w:pStyle w:val="Heading1"/>
        <w:pageBreakBefore/>
        <w:spacing w:after="160" w:before="320"/>
      </w:pPr>
      <w:r>
        <w:rPr>
          <w:b/>
          <w:bCs/>
          <w:color w:val="6366F1"/>
          <w:sz w:val="36"/>
          <w:szCs w:val="36"/>
        </w:rPr>
        <w:t xml:space="preserve">8. Plan d'action 30 / 60 / 90 jours</w:t>
      </w:r>
    </w:p>
    <w:p>
      <w:pPr>
        <w:pStyle w:val="Heading2"/>
        <w:spacing w:after="120" w:before="240"/>
      </w:pPr>
      <w:r>
        <w:rPr>
          <w:b/>
          <w:bCs/>
          <w:color w:val="6366F1"/>
          <w:sz w:val="26"/>
          <w:szCs w:val="26"/>
        </w:rPr>
        <w:t xml:space="preserve">Horizon 30j (4 actions)</w:t>
      </w:r>
    </w:p>
    <w:p>
      <w:pPr>
        <w:spacing w:after="40" w:before="120"/>
      </w:pPr>
      <w:r>
        <w:rPr>
          <w:b/>
          <w:bCs/>
          <w:color w:val="6366F1"/>
        </w:rPr>
        <w:t xml:space="preserve">Activer la MFA sur tous les comptes Google Workspace et accès sensibles</w:t>
      </w:r>
      <w:r>
        <w:rPr>
          <w:b/>
          <w:bCs/>
          <w:color w:val="FFFFFF"/>
          <w:highlight w:val="red"/>
          <w:highlightCs w:val="red"/>
        </w:rPr>
        <w:t xml:space="preserve"> [Critique] </w:t>
      </w:r>
    </w:p>
    <w:p>
      <w:pPr>
        <w:spacing w:after="40"/>
      </w:pPr>
      <w:r>
        <w:rPr>
          <w:i/>
          <w:iCs/>
          <w:color w:val="475569"/>
          <w:sz w:val="18"/>
          <w:szCs w:val="18"/>
        </w:rPr>
        <w:t xml:space="preserve">Axe : Cybersécurité &amp; Identité  ·  Source : diagnostic-google-workspace</w:t>
      </w:r>
    </w:p>
    <w:p>
      <w:pPr>
        <w:spacing w:after="120"/>
      </w:pPr>
      <w:r>
        <w:t xml:space="preserve">L'absence de MFA est la faille d'entrée la plus exploitée sur les TPE/BTP. Un compte compromis suffit à déclencher un ransomware ou une usurpation d'identité client. Action sans surcoût sur la licence existante, déployable en moins d'une semaine.</w:t>
      </w:r>
    </w:p>
    <w:p>
      <w:pPr>
        <w:spacing w:after="40" w:before="120"/>
      </w:pPr>
      <w:r>
        <w:rPr>
          <w:b/>
          <w:bCs/>
          <w:color w:val="6366F1"/>
        </w:rPr>
        <w:t xml:space="preserve">Sécuriser les comptes super-administrateurs Workspace (clé physique FIDO2 ou passkey)</w:t>
      </w:r>
      <w:r>
        <w:rPr>
          <w:b/>
          <w:bCs/>
          <w:color w:val="FFFFFF"/>
          <w:highlight w:val="red"/>
          <w:highlightCs w:val="red"/>
        </w:rPr>
        <w:t xml:space="preserve"> [Critique] </w:t>
      </w:r>
    </w:p>
    <w:p>
      <w:pPr>
        <w:spacing w:after="40"/>
      </w:pPr>
      <w:r>
        <w:rPr>
          <w:i/>
          <w:iCs/>
          <w:color w:val="475569"/>
          <w:sz w:val="18"/>
          <w:szCs w:val="18"/>
        </w:rPr>
        <w:t xml:space="preserve">Axe : Identité &amp; Gouvernance plateforme  ·  Source : diagnostic-google-workspace</w:t>
      </w:r>
    </w:p>
    <w:p>
      <w:pPr>
        <w:spacing w:after="120"/>
      </w:pPr>
      <w:r>
        <w:t xml:space="preserve">Les comptes super-admin non cloisonnés représentent un point de défaillance unique : leur compromission donne accès à l'intégralité des données et communications de l'entreprise. Priorité absolue avant toute autre action Workspace.</w:t>
      </w:r>
    </w:p>
    <w:p>
      <w:pPr>
        <w:spacing w:after="40" w:before="120"/>
      </w:pPr>
      <w:r>
        <w:rPr>
          <w:b/>
          <w:bCs/>
          <w:color w:val="6366F1"/>
        </w:rPr>
        <w:t xml:space="preserve">Bloquer le transfert automatique de mails vers l'extérieur et restreindre le partage Drive externe</w:t>
      </w:r>
      <w:r>
        <w:rPr>
          <w:b/>
          <w:bCs/>
          <w:color w:val="FFFFFF"/>
          <w:highlight w:val="red"/>
          <w:highlightCs w:val="red"/>
        </w:rPr>
        <w:t xml:space="preserve"> [Critique] </w:t>
      </w:r>
    </w:p>
    <w:p>
      <w:pPr>
        <w:spacing w:after="40"/>
      </w:pPr>
      <w:r>
        <w:rPr>
          <w:i/>
          <w:iCs/>
          <w:color w:val="475569"/>
          <w:sz w:val="18"/>
          <w:szCs w:val="18"/>
        </w:rPr>
        <w:t xml:space="preserve">Axe : Protection des données &amp; Relation client  ·  Source : diagnostic-google-workspace</w:t>
      </w:r>
    </w:p>
    <w:p>
      <w:pPr>
        <w:spacing w:after="120"/>
      </w:pPr>
      <w:r>
        <w:t xml:space="preserve">Ces deux paramètres Workspace sont activables en quelques clics dans la console d'administration. Ils éliminent immédiatement le risque d'exfiltration silencieuse de devis, contrats et données clients — sans impact sur l'usage quotidien légitime.</w:t>
      </w:r>
    </w:p>
    <w:p>
      <w:pPr>
        <w:spacing w:after="40" w:before="120"/>
      </w:pPr>
      <w:r>
        <w:rPr>
          <w:b/>
          <w:bCs/>
          <w:color w:val="6366F1"/>
        </w:rPr>
        <w:t xml:space="preserve">Tester la restauration des sauvegardes existantes et documenter le résultat</w:t>
      </w:r>
      <w:r>
        <w:rPr>
          <w:b/>
          <w:bCs/>
          <w:color w:val="FFFFFF"/>
          <w:highlight w:val="red"/>
          <w:highlightCs w:val="red"/>
        </w:rPr>
        <w:t xml:space="preserve"> [Critique] </w:t>
      </w:r>
    </w:p>
    <w:p>
      <w:pPr>
        <w:spacing w:after="40"/>
      </w:pPr>
      <w:r>
        <w:rPr>
          <w:i/>
          <w:iCs/>
          <w:color w:val="475569"/>
          <w:sz w:val="18"/>
          <w:szCs w:val="18"/>
        </w:rPr>
        <w:t xml:space="preserve">Axe : Continuité d'activité  ·  Source : diagnostic-express</w:t>
      </w:r>
    </w:p>
    <w:p>
      <w:pPr>
        <w:spacing w:after="120"/>
      </w:pPr>
      <w:r>
        <w:t xml:space="preserve">Des sauvegardes non testées sont des sauvegardes inexistantes en situation de crise. Un test de restauration réel (même partiel) permet de valider le dispositif ou d'identifier les lacunes avant qu'un incident ne les révèle de façon coûteuse.</w:t>
      </w:r>
    </w:p>
    <w:p>
      <w:pPr>
        <w:pStyle w:val="Heading2"/>
        <w:spacing w:after="120" w:before="240"/>
      </w:pPr>
      <w:r>
        <w:rPr>
          <w:b/>
          <w:bCs/>
          <w:color w:val="6366F1"/>
          <w:sz w:val="26"/>
          <w:szCs w:val="26"/>
        </w:rPr>
        <w:t xml:space="preserve">Horizon 60j (4 actions)</w:t>
      </w:r>
    </w:p>
    <w:p>
      <w:pPr>
        <w:spacing w:after="40" w:before="120"/>
      </w:pPr>
      <w:r>
        <w:rPr>
          <w:b/>
          <w:bCs/>
          <w:color w:val="6366F1"/>
        </w:rPr>
        <w:t xml:space="preserve">Activer la journalisation et l'audit Workspace — consulter les logs au moins mensuellement</w:t>
      </w:r>
      <w:r>
        <w:rPr>
          <w:b/>
          <w:bCs/>
          <w:color w:val="FFFFFF"/>
          <w:highlight w:val="yellow"/>
          <w:highlightCs w:val="yellow"/>
        </w:rPr>
        <w:t xml:space="preserve"> [Élevé] </w:t>
      </w:r>
    </w:p>
    <w:p>
      <w:pPr>
        <w:spacing w:after="40"/>
      </w:pPr>
      <w:r>
        <w:rPr>
          <w:i/>
          <w:iCs/>
          <w:color w:val="475569"/>
          <w:sz w:val="18"/>
          <w:szCs w:val="18"/>
        </w:rPr>
        <w:t xml:space="preserve">Axe : Détection &amp; Gouvernance  ·  Source : diagnostic-google-workspace</w:t>
      </w:r>
    </w:p>
    <w:p>
      <w:pPr>
        <w:spacing w:after="120"/>
      </w:pPr>
      <w:r>
        <w:t xml:space="preserve">Sans consultation des journaux d'audit, aucun incident n'est détectable. L'activation et la revue mensuelle des logs (connexions inhabituelles, partages externes, transferts) constituent le minimum vital de surveillance pour une TPE.</w:t>
      </w:r>
    </w:p>
    <w:p>
      <w:pPr>
        <w:spacing w:after="40" w:before="120"/>
      </w:pPr>
      <w:r>
        <w:rPr>
          <w:b/>
          <w:bCs/>
          <w:color w:val="6366F1"/>
        </w:rPr>
        <w:t xml:space="preserve">Passer DMARC en mode rejet (p=reject) et activer la protection anti-phishing avancée</w:t>
      </w:r>
      <w:r>
        <w:rPr>
          <w:b/>
          <w:bCs/>
          <w:color w:val="FFFFFF"/>
          <w:highlight w:val="yellow"/>
          <w:highlightCs w:val="yellow"/>
        </w:rPr>
        <w:t xml:space="preserve"> [Élevé] </w:t>
      </w:r>
    </w:p>
    <w:p>
      <w:pPr>
        <w:spacing w:after="40"/>
      </w:pPr>
      <w:r>
        <w:rPr>
          <w:i/>
          <w:iCs/>
          <w:color w:val="475569"/>
          <w:sz w:val="18"/>
          <w:szCs w:val="18"/>
        </w:rPr>
        <w:t xml:space="preserve">Axe : Sécurité messagerie &amp; Réputation client  ·  Source : diagnostic-google-workspace</w:t>
      </w:r>
    </w:p>
    <w:p>
      <w:pPr>
        <w:spacing w:after="120"/>
      </w:pPr>
      <w:r>
        <w:t xml:space="preserve">L'usurpation du domaine mail de Duval Artisanat pour escroquer des clients est un risque réel et documenté dans le BTP. DMARC en rejet et anti-phishing avancé sont des protections sans coût additionnel qui protègent simultanément l'entreprise et ses clients.</w:t>
      </w:r>
    </w:p>
    <w:p>
      <w:pPr>
        <w:spacing w:after="40" w:before="120"/>
      </w:pPr>
      <w:r>
        <w:rPr>
          <w:b/>
          <w:bCs/>
          <w:color w:val="6366F1"/>
        </w:rPr>
        <w:t xml:space="preserve">Formaliser un processus de départ salarié (révocation accès, récupération données, transfert compte)</w:t>
      </w:r>
      <w:r>
        <w:rPr>
          <w:b/>
          <w:bCs/>
          <w:color w:val="FFFFFF"/>
          <w:highlight w:val="yellow"/>
          <w:highlightCs w:val="yellow"/>
        </w:rPr>
        <w:t xml:space="preserve"> [Élevé] </w:t>
      </w:r>
    </w:p>
    <w:p>
      <w:pPr>
        <w:spacing w:after="40"/>
      </w:pPr>
      <w:r>
        <w:rPr>
          <w:i/>
          <w:iCs/>
          <w:color w:val="475569"/>
          <w:sz w:val="18"/>
          <w:szCs w:val="18"/>
        </w:rPr>
        <w:t xml:space="preserve">Axe : Gouvernance RH &amp; RGPD  ·  Source : diagnostic-google-workspace</w:t>
      </w:r>
    </w:p>
    <w:p>
      <w:pPr>
        <w:spacing w:after="120"/>
      </w:pPr>
      <w:r>
        <w:t xml:space="preserve">L'absence de procédure de départ expose l'entreprise à des accès persistants d'anciens salariés et à une perte de données clients ou chantiers. Une checklist simple suffit pour couvrir ce risque RGPD et continuité.</w:t>
      </w:r>
    </w:p>
    <w:p>
      <w:pPr>
        <w:spacing w:after="40" w:before="120"/>
      </w:pPr>
      <w:r>
        <w:rPr>
          <w:b/>
          <w:bCs/>
          <w:color w:val="6366F1"/>
        </w:rPr>
        <w:t xml:space="preserve">Mettre en place des comptes utilisateurs sans droits administrateur sur les postes de travail</w:t>
      </w:r>
      <w:r>
        <w:rPr>
          <w:b/>
          <w:bCs/>
          <w:color w:val="FFFFFF"/>
          <w:highlight w:val="yellow"/>
          <w:highlightCs w:val="yellow"/>
        </w:rPr>
        <w:t xml:space="preserve"> [Élevé] </w:t>
      </w:r>
    </w:p>
    <w:p>
      <w:pPr>
        <w:spacing w:after="40"/>
      </w:pPr>
      <w:r>
        <w:rPr>
          <w:i/>
          <w:iCs/>
          <w:color w:val="475569"/>
          <w:sz w:val="18"/>
          <w:szCs w:val="18"/>
        </w:rPr>
        <w:t xml:space="preserve">Axe : Cybersécurité postes  ·  Source : diagnostic-express</w:t>
      </w:r>
    </w:p>
    <w:p>
      <w:pPr>
        <w:spacing w:after="120"/>
      </w:pPr>
      <w:r>
        <w:t xml:space="preserve">L'usage quotidien en compte administrateur local est le principal vecteur d'infection ransomware sur les postes Windows en TPE. La séparation des droits est une mesure de base qui réduit drastiquement la surface d'attaque.</w:t>
      </w:r>
    </w:p>
    <w:p>
      <w:pPr>
        <w:pStyle w:val="Heading2"/>
        <w:spacing w:after="120" w:before="240"/>
      </w:pPr>
      <w:r>
        <w:rPr>
          <w:b/>
          <w:bCs/>
          <w:color w:val="6366F1"/>
          <w:sz w:val="26"/>
          <w:szCs w:val="26"/>
        </w:rPr>
        <w:t xml:space="preserve">Horizon 90j (3 actions)</w:t>
      </w:r>
    </w:p>
    <w:p>
      <w:pPr>
        <w:spacing w:after="40" w:before="120"/>
      </w:pPr>
      <w:r>
        <w:rPr>
          <w:b/>
          <w:bCs/>
          <w:color w:val="6366F1"/>
        </w:rPr>
        <w:t xml:space="preserve">Rédiger un PRA minimaliste et des procédures dégradées (panne Internet, panne poste, perte accès cloud)</w:t>
      </w:r>
      <w:r>
        <w:rPr>
          <w:b/>
          <w:bCs/>
          <w:color w:val="FFFFFF"/>
          <w:highlight w:val="yellow"/>
          <w:highlightCs w:val="yellow"/>
        </w:rPr>
        <w:t xml:space="preserve"> [Élevé] </w:t>
      </w:r>
    </w:p>
    <w:p>
      <w:pPr>
        <w:spacing w:after="40"/>
      </w:pPr>
      <w:r>
        <w:rPr>
          <w:i/>
          <w:iCs/>
          <w:color w:val="475569"/>
          <w:sz w:val="18"/>
          <w:szCs w:val="18"/>
        </w:rPr>
        <w:t xml:space="preserve">Axe : Continuité d'activité  ·  Source : diagnostic-express</w:t>
      </w:r>
    </w:p>
    <w:p>
      <w:pPr>
        <w:spacing w:after="120"/>
      </w:pPr>
      <w:r>
        <w:t xml:space="preserve">Un document d'une à deux pages listant les scénarios de panne, les contacts prestataires et les modes dégradés (facturation papier, accès mobile) suffit à éviter la paralysie totale. Cible : que chaque salarié sache quoi faire sans le dirigeant.</w:t>
      </w:r>
    </w:p>
    <w:p>
      <w:pPr>
        <w:spacing w:after="40" w:before="120"/>
      </w:pPr>
      <w:r>
        <w:rPr>
          <w:b/>
          <w:bCs/>
          <w:color w:val="6366F1"/>
        </w:rPr>
        <w:t xml:space="preserve">Engager la mise en conformité facturation électronique 2026 — choisir une solution et planifier le déploiement</w:t>
      </w:r>
      <w:r>
        <w:rPr>
          <w:b/>
          <w:bCs/>
          <w:color w:val="FFFFFF"/>
          <w:highlight w:val="cyan"/>
          <w:highlightCs w:val="cyan"/>
        </w:rPr>
        <w:t xml:space="preserve"> [Modéré] </w:t>
      </w:r>
    </w:p>
    <w:p>
      <w:pPr>
        <w:spacing w:after="40"/>
      </w:pPr>
      <w:r>
        <w:rPr>
          <w:i/>
          <w:iCs/>
          <w:color w:val="475569"/>
          <w:sz w:val="18"/>
          <w:szCs w:val="18"/>
        </w:rPr>
        <w:t xml:space="preserve">Axe : Conformité réglementaire &amp; Relation client  ·  Source : diagnostic-express</w:t>
      </w:r>
    </w:p>
    <w:p>
      <w:pPr>
        <w:spacing w:after="120"/>
      </w:pPr>
      <w:r>
        <w:t xml:space="preserve">L'obligation s'applique aux TPE du BTP dès 2026. Le choix de la solution (PDP ou OD compatible) doit être fait en 2025 pour laisser le temps de l'intégration et des tests. Un retard expose à des pénalités et à des frictions avec les clients grands comptes.</w:t>
      </w:r>
    </w:p>
    <w:p>
      <w:pPr>
        <w:spacing w:after="40" w:before="120"/>
      </w:pPr>
      <w:r>
        <w:rPr>
          <w:b/>
          <w:bCs/>
          <w:color w:val="6366F1"/>
        </w:rPr>
        <w:t xml:space="preserve">Contractualiser avec le prestataire IT sur la sécurité, la réversibilité et les niveaux de service</w:t>
      </w:r>
      <w:r>
        <w:rPr>
          <w:b/>
          <w:bCs/>
          <w:color w:val="FFFFFF"/>
          <w:highlight w:val="cyan"/>
          <w:highlightCs w:val="cyan"/>
        </w:rPr>
        <w:t xml:space="preserve"> [Modéré] </w:t>
      </w:r>
    </w:p>
    <w:p>
      <w:pPr>
        <w:spacing w:after="40"/>
      </w:pPr>
      <w:r>
        <w:rPr>
          <w:i/>
          <w:iCs/>
          <w:color w:val="475569"/>
          <w:sz w:val="18"/>
          <w:szCs w:val="18"/>
        </w:rPr>
        <w:t xml:space="preserve">Axe : Gouvernance SI &amp; Continuité  ·  Source : diagnostic-express</w:t>
      </w:r>
    </w:p>
    <w:p>
      <w:pPr>
        <w:spacing w:after="120"/>
      </w:pPr>
      <w:r>
        <w:t xml:space="preserve">L'absence de contrat couvrant la sécurité et la réversibilité laisse l'entreprise sans recours en cas de défaillance prestataire. Un avenant ou un nouveau contrat doit formaliser les engagements de sécurité, les délais d'intervention et les conditions de sortie.</w:t>
      </w:r>
    </w:p>
    <w:p>
      <w:pPr>
        <w:pStyle w:val="Heading1"/>
        <w:pageBreakBefore/>
        <w:spacing w:after="160" w:before="320"/>
      </w:pPr>
      <w:r>
        <w:rPr>
          <w:b/>
          <w:bCs/>
          <w:color w:val="6366F1"/>
          <w:sz w:val="36"/>
          <w:szCs w:val="36"/>
        </w:rPr>
        <w:t xml:space="preserve">9. Recommandation de cadrage</w:t>
      </w:r>
    </w:p>
    <w:p>
      <w:pPr>
        <w:spacing w:after="120"/>
      </w:pPr>
      <w:r>
        <w:t xml:space="preserve">Compte tenu du niveau de maturité critique constaté et de la taille de la structure (10-19 salariés), il est recommandé de confier le pilotage de ce plan d'action à un </w:t>
      </w:r>
      <w:r>
        <w:rPr>
          <w:b/>
          <w:bCs/>
        </w:rPr>
        <w:t xml:space="preserve">prestataire IT de proximité mandaté explicitement</w:t>
      </w:r>
      <w:r>
        <w:t xml:space="preserve"> sur les actions des 30 premiers jours, avec un point de suivi mensuel impliquant le dirigeant. Les actions 30j sont toutes réalisables sans investissement logiciel supplémentaire et doivent être traitées comme des urgences opérationnelles, non comme des projets. Un budget indicatif de 1 500 à 3 000 € HT de prestation externe suffit à couvrir la mise en œuvre technique des actions critiques ; la contractualisation prestataire et le PRA peuvent être conduits en parallèle par le dirigeant avec un accompagnement DSI à temps partagé d'une demi-journée mensuelle.</w:t>
      </w:r>
    </w:p>
    <w:p>
      <w:pPr>
        <w:pStyle w:val="Heading1"/>
        <w:pageBreakBefore/>
        <w:spacing w:after="160" w:before="320"/>
      </w:pPr>
      <w:r>
        <w:rPr>
          <w:b/>
          <w:bCs/>
          <w:color w:val="6366F1"/>
          <w:sz w:val="36"/>
          <w:szCs w:val="36"/>
        </w:rPr>
        <w:t xml:space="preserve">10. Liens avec les livrables existants</w:t>
      </w:r>
    </w:p>
    <w:p>
      <w:pPr>
        <w:pStyle w:val="ListParagraph"/>
        <w:numPr>
          <w:ilvl w:val="0"/>
          <w:numId w:val="1"/>
        </w:numPr>
        <w:spacing w:after="60"/>
      </w:pPr>
      <w:r>
        <w:t xml:space="preserve">Mini-audit MA-TEST-TPE-001-cmq11v — statut : delivered · score 28/100</w:t>
      </w:r>
    </w:p>
    <w:p>
      <w:pPr>
        <w:pStyle w:val="ListParagraph"/>
        <w:numPr>
          <w:ilvl w:val="0"/>
          <w:numId w:val="1"/>
        </w:numPr>
        <w:spacing w:after="60"/>
      </w:pPr>
      <w:r>
        <w:t xml:space="preserve">SOW STEL-DEMO-TPE-cmq11v — type : initial · statut : accepted</w:t>
      </w:r>
    </w:p>
    <w:p>
      <w:pPr>
        <w:pStyle w:val="Heading1"/>
        <w:pageBreakBefore/>
        <w:spacing w:after="160" w:before="320"/>
      </w:pPr>
      <w:r>
        <w:rPr>
          <w:b/>
          <w:bCs/>
          <w:color w:val="6366F1"/>
          <w:sz w:val="36"/>
          <w:szCs w:val="36"/>
        </w:rPr>
        <w:t xml:space="preserve">Annexe A — À propos de Cabinet Démo</w:t>
      </w:r>
    </w:p>
    <w:p>
      <w:pPr>
        <w:spacing w:after="120"/>
      </w:pPr>
      <w:r>
        <w:rPr>
          <w:i/>
          <w:iCs/>
          <w:color w:val="475569"/>
        </w:rPr>
        <w:t xml:space="preserve">DSI à temps partagé pour PME et ETI</w:t>
      </w:r>
    </w:p>
    <w:p>
      <w:pPr>
        <w:pStyle w:val="Heading2"/>
        <w:spacing w:after="120" w:before="240"/>
      </w:pPr>
      <w:r>
        <w:rPr>
          <w:b/>
          <w:bCs/>
          <w:color w:val="6366F1"/>
          <w:sz w:val="26"/>
          <w:szCs w:val="26"/>
        </w:rPr>
        <w:t xml:space="preserve">Notre rôle — 4 verbes</w:t>
      </w:r>
    </w:p>
    <w:p>
      <w:pPr>
        <w:pStyle w:val="ListParagraph"/>
        <w:numPr>
          <w:ilvl w:val="0"/>
          <w:numId w:val="1"/>
        </w:numPr>
        <w:spacing w:after="60"/>
      </w:pPr>
      <w:r>
        <w:rPr>
          <w:b/>
          <w:bCs/>
        </w:rPr>
        <w:t xml:space="preserve">Analyser — </w:t>
      </w:r>
      <w:r>
        <w:t xml:space="preserve">Lire la situation IT au regard des enjeux business du dirigeant, sans jargon ni biais éditeur.</w:t>
      </w:r>
    </w:p>
    <w:p>
      <w:pPr>
        <w:pStyle w:val="ListParagraph"/>
        <w:numPr>
          <w:ilvl w:val="0"/>
          <w:numId w:val="1"/>
        </w:numPr>
        <w:spacing w:after="60"/>
      </w:pPr>
      <w:r>
        <w:rPr>
          <w:b/>
          <w:bCs/>
        </w:rPr>
        <w:t xml:space="preserve">Piloter — </w:t>
      </w:r>
      <w:r>
        <w:t xml:space="preserve">Tenir le cap des chantiers IT (sécurité, conformité, projets) sans se substituer aux équipes opérationnelles.</w:t>
      </w:r>
    </w:p>
    <w:p>
      <w:pPr>
        <w:pStyle w:val="ListParagraph"/>
        <w:numPr>
          <w:ilvl w:val="0"/>
          <w:numId w:val="1"/>
        </w:numPr>
        <w:spacing w:after="60"/>
      </w:pPr>
      <w:r>
        <w:rPr>
          <w:b/>
          <w:bCs/>
        </w:rPr>
        <w:t xml:space="preserve">Arbitrer — </w:t>
      </w:r>
      <w:r>
        <w:t xml:space="preserve">Choisir entre options techniques, contractuelles ou financières sur la base de critères objectifs et tracés.</w:t>
      </w:r>
    </w:p>
    <w:p>
      <w:pPr>
        <w:pStyle w:val="ListParagraph"/>
        <w:numPr>
          <w:ilvl w:val="0"/>
          <w:numId w:val="1"/>
        </w:numPr>
        <w:spacing w:after="60"/>
      </w:pPr>
      <w:r>
        <w:rPr>
          <w:b/>
          <w:bCs/>
        </w:rPr>
        <w:t xml:space="preserve">Restituer — </w:t>
      </w:r>
      <w:r>
        <w:t xml:space="preserve">Rendre compte au dirigeant en langage de décision : décisions à prendre, risques, budgets, jalons.</w:t>
      </w:r>
    </w:p>
    <w:p>
      <w:pPr>
        <w:pStyle w:val="Heading2"/>
        <w:spacing w:after="120" w:before="240"/>
      </w:pPr>
      <w:r>
        <w:rPr>
          <w:b/>
          <w:bCs/>
          <w:color w:val="6366F1"/>
          <w:sz w:val="26"/>
          <w:szCs w:val="26"/>
        </w:rPr>
        <w:t xml:space="preserve">Frontière MOA / MOE</w:t>
      </w:r>
    </w:p>
    <w:p>
      <w:pPr>
        <w:spacing w:after="80"/>
      </w:pPr>
      <w:r>
        <w:rPr>
          <w:b/>
          <w:bCs/>
        </w:rPr>
        <w:t xml:space="preserve">Ce que nous faisons :</w:t>
      </w:r>
    </w:p>
    <w:p>
      <w:pPr>
        <w:pStyle w:val="ListParagraph"/>
        <w:numPr>
          <w:ilvl w:val="0"/>
          <w:numId w:val="1"/>
        </w:numPr>
        <w:spacing w:after="60"/>
      </w:pPr>
      <w:r>
        <w:t xml:space="preserve">Analyse, pilotage, arbitrage, restitution</w:t>
      </w:r>
    </w:p>
    <w:p>
      <w:pPr>
        <w:pStyle w:val="ListParagraph"/>
        <w:numPr>
          <w:ilvl w:val="0"/>
          <w:numId w:val="1"/>
        </w:numPr>
        <w:spacing w:after="60"/>
      </w:pPr>
      <w:r>
        <w:t xml:space="preserve">Cadrage et rédaction de cahiers des charges</w:t>
      </w:r>
    </w:p>
    <w:p>
      <w:pPr>
        <w:pStyle w:val="ListParagraph"/>
        <w:numPr>
          <w:ilvl w:val="0"/>
          <w:numId w:val="1"/>
        </w:numPr>
        <w:spacing w:after="60"/>
      </w:pPr>
      <w:r>
        <w:t xml:space="preserve">Sélection prestataires (RFP, RFI, scoring)</w:t>
      </w:r>
    </w:p>
    <w:p>
      <w:pPr>
        <w:pStyle w:val="ListParagraph"/>
        <w:numPr>
          <w:ilvl w:val="0"/>
          <w:numId w:val="1"/>
        </w:numPr>
        <w:spacing w:after="60"/>
      </w:pPr>
      <w:r>
        <w:t xml:space="preserve">Pilotage de la conformité (RGPD, sécurité, souveraineté)</w:t>
      </w:r>
    </w:p>
    <w:p>
      <w:pPr>
        <w:pStyle w:val="ListParagraph"/>
        <w:numPr>
          <w:ilvl w:val="0"/>
          <w:numId w:val="1"/>
        </w:numPr>
        <w:spacing w:after="60"/>
      </w:pPr>
      <w:r>
        <w:t xml:space="preserve">Gouvernance IT et reporting dirigeant</w:t>
      </w:r>
    </w:p>
    <w:p>
      <w:pPr>
        <w:spacing w:after="80" w:before="120"/>
      </w:pPr>
      <w:r>
        <w:rPr>
          <w:b/>
          <w:bCs/>
        </w:rPr>
        <w:t xml:space="preserve">Ce que nous ne faisons pas :</w:t>
      </w:r>
    </w:p>
    <w:p>
      <w:pPr>
        <w:pStyle w:val="ListParagraph"/>
        <w:numPr>
          <w:ilvl w:val="0"/>
          <w:numId w:val="1"/>
        </w:numPr>
        <w:spacing w:after="60"/>
      </w:pPr>
      <w:r>
        <w:t xml:space="preserve">Mise en œuvre technique (MOE) — déploiements, configurations, intégrations</w:t>
      </w:r>
    </w:p>
    <w:p>
      <w:pPr>
        <w:pStyle w:val="ListParagraph"/>
        <w:numPr>
          <w:ilvl w:val="0"/>
          <w:numId w:val="1"/>
        </w:numPr>
        <w:spacing w:after="60"/>
      </w:pPr>
      <w:r>
        <w:t xml:space="preserve">Tierce maintenance applicative ou infogérance opérationnelle</w:t>
      </w:r>
    </w:p>
    <w:p>
      <w:pPr>
        <w:pStyle w:val="ListParagraph"/>
        <w:numPr>
          <w:ilvl w:val="0"/>
          <w:numId w:val="1"/>
        </w:numPr>
        <w:spacing w:after="60"/>
      </w:pPr>
      <w:r>
        <w:t xml:space="preserve">Hotline utilisateur ou support N1/N2</w:t>
      </w:r>
    </w:p>
    <w:p>
      <w:pPr>
        <w:pStyle w:val="ListParagraph"/>
        <w:numPr>
          <w:ilvl w:val="0"/>
          <w:numId w:val="1"/>
        </w:numPr>
        <w:spacing w:after="60"/>
      </w:pPr>
      <w:r>
        <w:t xml:space="preserve">Revente de licences éditeur (sauf demande explicite, voir CGV art. 7.2)</w:t>
      </w:r>
    </w:p>
    <w:p>
      <w:pPr>
        <w:pStyle w:val="Heading2"/>
        <w:spacing w:after="120" w:before="240"/>
      </w:pPr>
      <w:r>
        <w:rPr>
          <w:b/>
          <w:bCs/>
          <w:color w:val="6366F1"/>
          <w:sz w:val="26"/>
          <w:szCs w:val="26"/>
        </w:rPr>
        <w:t xml:space="preserve">Souveraineté</w:t>
      </w:r>
    </w:p>
    <w:p>
      <w:pPr>
        <w:spacing w:after="200"/>
      </w:pPr>
      <w:r>
        <w:rPr>
          <w:b/>
          <w:bCs/>
        </w:rPr>
        <w:t xml:space="preserve">Ordre de préférence : FR &gt; EU &gt; US. </w:t>
      </w:r>
      <w:r>
        <w:t xml:space="preserve">Préférer les solutions souveraines françaises ou européennes lorsqu'elles couvrent fonctionnellement le besoin. Une solution US n'est retenue que si aucune alternative FR/EU ne couvre le besoin métier ou si le client ancre déjà sa stack chez un éditeur US et que la bascule serait disproportionnée.</w:t>
      </w:r>
    </w:p>
    <w:p>
      <w:pPr>
        <w:pStyle w:val="Heading1"/>
        <w:pageBreakBefore/>
        <w:spacing w:after="160" w:before="320"/>
      </w:pPr>
      <w:r>
        <w:rPr>
          <w:b/>
          <w:bCs/>
          <w:color w:val="6366F1"/>
          <w:sz w:val="36"/>
          <w:szCs w:val="36"/>
        </w:rPr>
        <w:t xml:space="preserve">Annexe B — Méta-analyse IA</w:t>
      </w:r>
    </w:p>
    <w:p>
      <w:r>
        <w:rPr>
          <w:color w:val="475569"/>
        </w:rPr>
        <w:t xml:space="preserve">Analyse générée le </w:t>
      </w:r>
      <w:r>
        <w:rPr>
          <w:b/>
          <w:bCs/>
        </w:rPr>
        <w:t xml:space="preserve">2026-10-22T02:02:26.795Z</w:t>
      </w:r>
      <w:r>
        <w:rPr>
          <w:color w:val="475569"/>
        </w:rPr>
        <w:t xml:space="preserve">  ·  Backend : </w:t>
      </w:r>
      <w:r>
        <w:rPr>
          <w:b/>
          <w:bCs/>
          <w:color w:val="0E5C73"/>
        </w:rPr>
        <w:t xml:space="preserve">sections</w:t>
      </w:r>
      <w:r>
        <w:rPr>
          <w:color w:val="475569"/>
        </w:rPr>
        <w:t xml:space="preserve">  ·  Modèle : </w:t>
      </w:r>
      <w:r>
        <w:rPr>
          <w:b/>
          <w:bCs/>
        </w:rPr>
        <w:t xml:space="preserve">claude-sonnet-4-6</w:t>
      </w:r>
      <w:r>
        <w:rPr>
          <w:color w:val="475569"/>
        </w:rPr>
        <w:t xml:space="preserve">  ·  Durée : </w:t>
      </w:r>
      <w:r>
        <w:rPr>
          <w:b/>
          <w:bCs/>
        </w:rPr>
        <w:t xml:space="preserve">0 ms</w:t>
      </w:r>
      <w:r>
        <w:rPr>
          <w:color w:val="475569"/>
        </w:rPr>
        <w:t xml:space="preserve">  ·  Hash : </w:t>
      </w:r>
      <w:r>
        <w:rPr>
          <w:rFonts w:ascii="Consolas" w:cs="Consolas" w:eastAsia="Consolas" w:hAnsi="Consolas"/>
        </w:rPr>
        <w:t xml:space="preserve"/>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i/>
        <w:iCs/>
        <w:color w:val="7A7A7A"/>
        <w:sz w:val="14"/>
        <w:szCs w:val="14"/>
      </w:rPr>
      <w:t xml:space="preserve">Projet généré automatiquement, non encore relu par le cabinet.</w:t>
    </w:r>
  </w:p>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cadrage AC-CABI-2026-001, TEST_TPE Duval Artisanat</dc:title>
  <dc:creator>Cabinet Démo</dc:creator>
  <dc:description>Dossier de cadrage interne Cabinet Démo pour TEST_TPE Duval Artisanat</dc:description>
  <cp:lastModifiedBy>Un-named</cp:lastModifiedBy>
  <cp:revision>1</cp:revision>
  <dcterms:created xsi:type="dcterms:W3CDTF">2026-10-22T02:02:26.818Z</dcterms:created>
  <dcterms:modified xsi:type="dcterms:W3CDTF">2026-10-22T02:02:26.818Z</dcterms:modified>
</cp:coreProperties>
</file>

<file path=docProps/custom.xml><?xml version="1.0" encoding="utf-8"?>
<Properties xmlns="http://schemas.openxmlformats.org/officeDocument/2006/custom-properties" xmlns:vt="http://schemas.openxmlformats.org/officeDocument/2006/docPropsVTypes"/>
</file>